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DE M&amp;A E DUE DILIGENCE</w:t>
      </w:r>
    </w:p>
    <w:p>
      <w:pPr>
        <w:pStyle w:val="Subtitle"/>
        <w:spacing w:after="160"/>
        <w:jc w:val="center"/>
      </w:pPr>
      <w:r>
        <w:t>Escopo de revisão, materialidade, data room, reliance e conflitos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CO-06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ASSESSORA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"ASSESSORA";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ASSESSORA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ASSESSORA apoiará a operação descrita no Anexo I, realizando análise, coordenação de data room, relatórios e suporte à negociação dentro do escopo contratado.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ESCOPO, MATERIALIDADE E LIMITES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revisão seguirá áreas, período, amostra e materialidade do Anexo I. Não constituirá auditoria integral nem descoberta garantida de fraude oculta.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Achados serão classificados por risco e dependência de informação. Ausência de documento será registrada, não presumida como regularidade.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O CLIENTE decidirá sobre preço, garantias e fechamento com assessores adequados.</w:t>
      </w:r>
    </w:p>
    <w:p>
      <w:pPr>
        <w:pStyle w:val="Heading1"/>
        <w:keepNext/>
        <w:spacing w:before="120" w:after="40"/>
      </w:pPr>
      <w:r>
        <w:t>CLÁUSULA 6 - CONFLITOS, RELIANCE E TERCEIROS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ASSESSORA revelará conflitos e poderá usar especialistas aprovados.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Relatórios não poderão ser fornecidos a financiadores ou terceiros com direito de reliance sem consentimento e termos específicos.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Informações de data room permanecerão sujeitas ao NDA e regras de clean team.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SOLUÇÃO DE CONTROVÉRSIAS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executiva por 15 dias e, em seguida, mediação por 20 dias, sem impedir medida urgente. Persistindo a controvérsia, ela será resolvida por arbitragem administrada por {{CAMARA_ARBITRAL}}, sede em {{SEDE_ARBITRAGEM}}, idioma português, por {{NUMERO_ARBITROS}} árbitro(s), conforme regulamento vigente.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Custos serão adiantados conforme regulamento e alocados na decisão. Medidas cautelares poderão ser requeridas ao Poder Judiciário antes da instituição da arbitragem, sem renúncia à convenção arbitral.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ASSESSORA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CO-06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de M&amp;A e Due Diligence</dc:title>
  <dc:subject>Escopo de revisão, materialidade, data room, reliance e conflitos</dc:subject>
  <dc:creator>Ponderum - Biblioteca de Modelos Contratuais</dc:creator>
  <cp:keywords>CO-06;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