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CONTRATO SAAS COM INTELIGÊNCIA ARTIFICIAL GENERATIVA E MODELOS DE TERCEIROS</w:t>
      </w:r>
    </w:p>
    <w:p>
      <w:pPr>
        <w:pStyle w:val="Subtitle"/>
        <w:spacing w:after="160"/>
        <w:jc w:val="center"/>
      </w:pPr>
      <w:r>
        <w:t>Prompts, outputs, treinamento, revisão humana, provedores e mudanças de modelo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SA-06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Licenciamento SaaS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CLIENTE e PROVEDORA DE IA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Módulos/usuários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{{MODULOS_E_USUARIOS}}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Preço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{{PRECO_E_FORMA_DE_PAGAMENTO}}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SLA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{{META_DISPONIBILIDADE}}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Dados pessoais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{{PAPEIS_LGPD}}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Portabilidade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{{JANELA_EXPORTACAO}}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"CLIENTE";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"PROVEDORA DE IA";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 PROVEDORA DE IA desenvolve ou opera a plataforma indicada;</w:t>
      </w:r>
    </w:p>
    <w:p>
      <w:pPr>
        <w:ind w:left="283" w:hanging="170"/>
      </w:pPr>
      <w:r>
        <w:rPr>
          <w:b/>
        </w:rPr>
        <w:t xml:space="preserve">• </w:t>
      </w:r>
      <w:r>
        <w:t>que a CLIENTE pretende utilizar a solução dentro dos limites de usuários, dados, módulos e finalidade contratados;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disciplinar implantação, níveis de serviço, segurança, dados, propriedade intelectual, cobrança e saída.</w:t>
      </w:r>
    </w:p>
    <w:p>
      <w:pPr>
        <w:pStyle w:val="Heading1"/>
        <w:keepNext/>
        <w:spacing w:before="120" w:after="40"/>
      </w:pPr>
      <w:r>
        <w:t>CLÁUSULA 1 - DEFINIÇÕES, DOCUMENTOS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Plataforma, Usuário, Dados do Cliente, Documentação, SLA, Incidente e demais termos terão o significado deste Contrato e Anexos.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Prevalecerão aditivo, quadro-resumo, Contrato, Anexo de Dados, SLA, escopo e documentação. Termos online somente integrarão a relação se identificados, acessíveis e compatíveis com o instrumento negociado.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Nenhuma atualização poderá alterar retroativamente preço, responsabilidade, titularidade ou solução de controvérsias.</w:t>
      </w:r>
    </w:p>
    <w:p>
      <w:pPr>
        <w:pStyle w:val="Heading1"/>
        <w:keepNext/>
        <w:spacing w:before="120" w:after="40"/>
      </w:pPr>
      <w:r>
        <w:t>CLÁUSULA 2 - OBJETO, LICENÇA E AMBIENTE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PROVEDORA DE IA disponibilizará funcionalidades que processam prompts, documentos e dados do CLIENTE para gerar outputs, análises ou automações descritas no Anexo I.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A licença será não exclusiva, não transferível, limitada à vigência, entidades, usuários, volumes e finalidades contratados. Não há transferência de código-fonte ou titularidade.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Módulos, ambientes, integrações, limites e serviços profissionais constam do Anexo I. Funcionalidade não descrita ou roadmap não formalizado não integra a obrigação.</w:t>
      </w:r>
    </w:p>
    <w:p>
      <w:pPr>
        <w:pStyle w:val="Heading1"/>
        <w:keepNext/>
        <w:spacing w:before="120" w:after="40"/>
      </w:pPr>
      <w:r>
        <w:t>CLÁUSULA 3 - IMPLANTAÇÃO, CONFIGURAÇÃO E ACEITE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Quando aplicável, o plano indicará cronograma, responsáveis, dados, ambientes, testes, migração e critérios de go-live.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Rejeição deverá apontar requisito e evidência. Aceite operacional não abrange defeito oculto, segurança ou requisito verificável apenas em produção.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Atraso decorrente de dependência do CLIENTE prorrogará o cronograma na medida do impacto demonstrado.</w:t>
      </w:r>
    </w:p>
    <w:p>
      <w:pPr>
        <w:pStyle w:val="Heading1"/>
        <w:keepNext/>
        <w:spacing w:before="120" w:after="40"/>
      </w:pPr>
      <w:r>
        <w:t>CLÁUSULA 4 - NÍVEIS DE SERVIÇO, CRÉDITOS E ESCALONAMENTO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Os níveis de serviço constarão do Anexo III e serão medidos por fonte auditável. Janelas de manutenção, atos da Parte recebedora, indisponibilidade de terceiro indicado por ela e força maior serão excluídos apenas na proporção comprovada.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Créditos de serviço incidirão sobre a parcela afetada, com teto mensal, e não constituirão remédio exclusivo para dolo, violação de confidencialidade, dados, propriedade intelectual ou descumprimento reiterado que autorize rescisão.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Falhas críticas seguirão matriz de escalonamento, comunicação de causa raiz e plano de prevenção de recorrência.</w:t>
      </w:r>
    </w:p>
    <w:p>
      <w:pPr>
        <w:pStyle w:val="Heading1"/>
        <w:keepNext/>
        <w:spacing w:before="120" w:after="40"/>
      </w:pPr>
      <w:r>
        <w:t>CLÁUSULA 5 - PROMPTS, OUTPUTS E TREINAMENTO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O CLIENTE conserva direitos sobre seus prompts e dados. A PROVEDORA DE IA não os utilizará para treinamento de modelos gerais, salvo opt-in específico, finalidade, retenção e mecanismo de revogação claramente informados.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Outputs serão disponibilizados ao CLIENTE, observados direitos de terceiros e limitações inerentes à tecnologia. A PROVEDORA não garante exclusividade ou ausência absoluta de conteúdo semelhante.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Logs poderão ser usados para segurança e suporte em prazo limitado e com acesso controlado.</w:t>
      </w:r>
    </w:p>
    <w:p>
      <w:pPr>
        <w:pStyle w:val="Heading1"/>
        <w:keepNext/>
        <w:spacing w:before="120" w:after="40"/>
      </w:pPr>
      <w:r>
        <w:t>CLÁUSULA 6 - REVISÃO HUMANA, ALUCINAÇÕES E USOS RESTRITOS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O CLIENTE deverá adotar revisão humana proporcional antes de decisões jurídicas, médicas, financeiras, laborais ou de alto impacto.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A PROVEDORA informará limitações conhecidas, fontes quando disponíveis e mudanças materiais de modelo que possam afetar desempenho.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É vedado usar a plataforma para decisão automatizada ilegal, fraude, violação de direitos, treinamento não autorizado ou inserção de dados sem base legítima.</w:t>
      </w:r>
    </w:p>
    <w:p>
      <w:pPr>
        <w:pStyle w:val="Heading1"/>
        <w:keepNext/>
        <w:spacing w:before="120" w:after="40"/>
      </w:pPr>
      <w:r>
        <w:t>CLÁUSULA 7 - MODELOS E SUBPROCESSADORES DE TERCEIROS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Provedores de modelo serão identificados por categoria e sujeitos a proteção equivalente. Mudança material com novo risco terá aviso e opção de objeção razoável.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Transferências internacionais e retenções seguirão o Anexo IV.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Falha de terceiro não excluirá automaticamente responsabilidade da PROVEDORA pelo desenho, seleção, configuração ou monitoramento sob seu controle.</w:t>
      </w:r>
    </w:p>
    <w:p>
      <w:pPr>
        <w:pStyle w:val="Heading1"/>
        <w:keepNext/>
        <w:spacing w:before="120" w:after="40"/>
      </w:pPr>
      <w:r>
        <w:t>CLÁUSULA 8 - CONTAS, USO ACEITÁVEL E SEGURANÇA DO CLIENTE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Credenciais serão individuais, protegidas e atribuídas por perfil. O CLIENTE responderá por usuários autorizados e comunicará comprometimento.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É vedado uso ilícito, violação de direitos, contorno de limites ou interferência na segurança. Restrições não impedirão interoperabilidade autorizada.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Uso excedente será medido e comunicado antes de cobrança ou limitação, salvo risco urgente.</w:t>
      </w:r>
    </w:p>
    <w:p>
      <w:pPr>
        <w:pStyle w:val="Heading1"/>
        <w:keepNext/>
        <w:spacing w:before="120" w:after="40"/>
      </w:pPr>
      <w:r>
        <w:t>CLÁUSULA 9 - PREÇO, FATURAMENTO, REAJUSTE E VOLUMES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Planos, unidades, volumes, preço, tributos e pagamento constam do Anexo II. Cobrança adicional depende de métrica objetiva e relatório.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Reajuste será anual por índice público. Recomposição extraordinária dependerá de custo comprovado, negociação e direito de rescisão quando afetar materialmente a equação.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Valor controvertido não autoriza suspensão integral nem retenção de dados; o incontroverso será pago.</w:t>
      </w:r>
    </w:p>
    <w:p>
      <w:pPr>
        <w:pStyle w:val="Heading1"/>
        <w:keepNext/>
        <w:spacing w:before="120" w:after="40"/>
      </w:pPr>
      <w:r>
        <w:t>CLÁUSULA 10 - SLA, SUPORTE E MANUTENÇÃO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Disponibilidade, severidade, resposta, solução, manutenção e canais constam do Anexo III e serão medidos por fonte auditável.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Créditos serão proporcionais à parcela afetada e limitados, sem constituir remédio exclusivo para violações graves, repetição ou segurança.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Incidente crítico terá escalonamento, comunicação, causa raiz e plano de prevenção.</w:t>
      </w:r>
    </w:p>
    <w:p>
      <w:pPr>
        <w:pStyle w:val="Heading1"/>
        <w:keepNext/>
        <w:spacing w:before="120" w:after="40"/>
      </w:pPr>
      <w:r>
        <w:t>CLÁUSULA 11 - ATUALIZAÇÕES, DEPRECIAÇÃO E GESTÃO DE MUDANÇAS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 PROVEDORA poderá evoluir o serviço sem reduzir materialmente funcionalidades contratadas. Mudança incompatível terá aviso e janela de migração proporcional.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Correção urgente de segurança poderá ocorrer imediatamente, com comunicação e suporte razoável.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Descontinuação de função essencial sem alternativa autoriza plano de correção e, se não resolvida, rescisão da parcela afetada sem multa.</w:t>
      </w:r>
    </w:p>
    <w:p>
      <w:pPr>
        <w:pStyle w:val="Heading1"/>
        <w:keepNext/>
        <w:spacing w:before="120" w:after="40"/>
      </w:pPr>
      <w:r>
        <w:t>CLÁUSULA 12 - DADOS, PAPÉIS E INSTRUÇÕES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O CLIENTE controla os Dados do Cliente e a PROVEDORA os tratará conforme papéis e instruções do Anexo IV. A nomenclatura não substituirá a análise das decisões efetivas.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A PROVEDORA não usará dados para publicidade, venda, perfil próprio ou treinamento de modelo geral sem autorização específica e base aplicável.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O CLIENTE assegurará legitimidade da coleta e instruções; a PROVEDORA alertará sobre instrução manifestamente incompatível.</w:t>
      </w:r>
    </w:p>
    <w:p>
      <w:pPr>
        <w:pStyle w:val="Heading1"/>
        <w:keepNext/>
        <w:spacing w:before="120" w:after="40"/>
      </w:pPr>
      <w:r>
        <w:t>CLÁUSULA 13 - SEGURANÇA, INCIDENTES, SUBPROCESSADORES E TRANSFERÊNCIA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A PROVEDORA manterá controles proporcionais, incluindo acesso, logs, criptografia quando adequada, backups, vulnerabilidades e resposta a incidentes.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Incidente confirmado será comunicado sem demora indevida, com informações disponíveis e cooperação. Comunicação não é admissão automática de responsabilidade.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Subprocessadores serão sujeitos a obrigações equivalentes; transferências internacionais observarão mecanismo válido e transparência prevista no Anexo IV.</w:t>
      </w:r>
    </w:p>
    <w:p>
      <w:pPr>
        <w:pStyle w:val="Heading1"/>
        <w:keepNext/>
        <w:spacing w:before="120" w:after="40"/>
      </w:pPr>
      <w:r>
        <w:t>CLÁUSULA 14 - PROPRIEDADE INTELECTUAL, FEEDBACK E COMPONENTES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A PROVEDORA conserva a plataforma, código, modelos, documentação e ferramentas preexistentes. O CLIENTE conserva dados, marcas e materiais que fornecer.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Entregáveis customizados terão titularidade ou licença definida no Anexo I. Componentes de terceiros e código aberto serão identificados quando relevantes.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Feedback poderá ser usado sem identificação e sem incorporar informação confidencial ou transferir invenção específica não contratada.</w:t>
      </w:r>
    </w:p>
    <w:p>
      <w:pPr>
        <w:pStyle w:val="Heading1"/>
        <w:keepNext/>
        <w:spacing w:before="120" w:after="40"/>
      </w:pPr>
      <w:r>
        <w:t>CLÁUSULA 15 - INTEGRAÇÕES E SERVIÇOS DE TERCEIROS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Integrações e provedores externos terão responsabilidades, custos e dependências definidos. A PROVEDORA responde pelo desenho e operação sob seu controle, não por falha exclusiva de terceiro imposto pelo CLIENTE.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Mudança de terceiro crítico que altere risco, local ou tratamento terá comunicação e possibilidade de objeção razoável.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Credenciais e dados compartilhados com terceiro seguirão menor privilégio e finalidade.</w:t>
      </w:r>
    </w:p>
    <w:p>
      <w:pPr>
        <w:pStyle w:val="Heading1"/>
        <w:keepNext/>
        <w:spacing w:before="120" w:after="40"/>
      </w:pPr>
      <w:r>
        <w:t>CLÁUSULA 16 - CONFIDENCIALIDADE E AUDITORIA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Informações não públicas serão protegidas por 5 anos, com exceções usuais e proteção enquanto perdurar a natureza para segredos, credenciais e dados.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Auditorias de segurança poderão ser atendidas por relatórios independentes, questionários e evidências, com inspeção presencial apenas quando necessária e proporcional.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Nenhuma auditoria dará acesso a código, vulnerabilidade explorável ou dados de outros clientes além do necessário.</w:t>
      </w:r>
    </w:p>
    <w:p>
      <w:pPr>
        <w:pStyle w:val="Heading1"/>
        <w:keepNext/>
        <w:spacing w:before="120" w:after="40"/>
      </w:pPr>
      <w:r>
        <w:t>CLÁUSULA 17 - SUSPENSÃO E CONTROLES DE ABUSO</w:t>
      </w:r>
    </w:p>
    <w:p>
      <w:pPr>
        <w:keepLines w:val="0"/>
        <w:widowControl/>
        <w:jc w:val="both"/>
      </w:pPr>
      <w:r>
        <w:rPr>
          <w:b/>
        </w:rPr>
        <w:t xml:space="preserve">17.1. </w:t>
      </w:r>
      <w:r>
        <w:t>A suspensão será limitada ao usuário, função ou obrigação afetada, mediante aviso e cura quando possível.</w:t>
      </w:r>
    </w:p>
    <w:p>
      <w:pPr>
        <w:keepLines w:val="0"/>
        <w:widowControl/>
        <w:jc w:val="both"/>
      </w:pPr>
      <w:r>
        <w:rPr>
          <w:b/>
        </w:rPr>
        <w:t xml:space="preserve">17.2. </w:t>
      </w:r>
      <w:r>
        <w:t>Risco urgente de segurança, ilícito ou dano a terceiros autoriza suspensão imediata, com fundamentação e revisão posterior.</w:t>
      </w:r>
    </w:p>
    <w:p>
      <w:pPr>
        <w:keepLines w:val="0"/>
        <w:widowControl/>
        <w:jc w:val="both"/>
      </w:pPr>
      <w:r>
        <w:rPr>
          <w:b/>
        </w:rPr>
        <w:t xml:space="preserve">17.3. </w:t>
      </w:r>
      <w:r>
        <w:t>A PROVEDORA não poderá usar suspensão para cobrar valor controvertido desconectado do serviço afetado ou impedir portabilidade.</w:t>
      </w:r>
    </w:p>
    <w:p>
      <w:pPr>
        <w:pStyle w:val="Heading1"/>
        <w:keepNext/>
        <w:spacing w:before="120" w:after="40"/>
      </w:pPr>
      <w:r>
        <w:t>CLÁUSULA 18 - GARANTIAS E RESPONSABILIDADES</w:t>
      </w:r>
    </w:p>
    <w:p>
      <w:pPr>
        <w:keepLines w:val="0"/>
        <w:widowControl/>
        <w:jc w:val="both"/>
      </w:pPr>
      <w:r>
        <w:rPr>
          <w:b/>
        </w:rPr>
        <w:t xml:space="preserve">18.1. </w:t>
      </w:r>
      <w:r>
        <w:t>A PROVEDORA garante operação substancialmente conforme documentação e correção de desconformidades. Não garante serviço ininterrupto ou resultado dependente de terceiros e dados do CLIENTE.</w:t>
      </w:r>
    </w:p>
    <w:p>
      <w:pPr>
        <w:keepLines w:val="0"/>
        <w:widowControl/>
        <w:jc w:val="both"/>
      </w:pPr>
      <w:r>
        <w:rPr>
          <w:b/>
        </w:rPr>
        <w:t xml:space="preserve">18.2. </w:t>
      </w:r>
      <w:r>
        <w:t>Cada Parte responderá por danos diretos comprovados sob seu controle. O cap será {{CAP_DE_RESPONSABILIDADE}}, com exceções negociadas e hipóteses não limitáveis.</w:t>
      </w:r>
    </w:p>
    <w:p>
      <w:pPr>
        <w:keepLines w:val="0"/>
        <w:widowControl/>
        <w:jc w:val="both"/>
      </w:pPr>
      <w:r>
        <w:rPr>
          <w:b/>
        </w:rPr>
        <w:t xml:space="preserve">18.3. </w:t>
      </w:r>
      <w:r>
        <w:t>Reclamação de terceiro terá notificação, participação na defesa e aprovação de acordo. Multa regulatória não será transferida sem causa e contribuição demonstradas.</w:t>
      </w:r>
    </w:p>
    <w:p>
      <w:pPr>
        <w:pStyle w:val="Heading1"/>
        <w:keepNext/>
        <w:spacing w:before="120" w:after="40"/>
      </w:pPr>
      <w:r>
        <w:t>CLÁUSULA 19 - CONTINUIDADE, FORÇA MAIOR E PORTABILIDADE</w:t>
      </w:r>
    </w:p>
    <w:p>
      <w:pPr>
        <w:keepLines w:val="0"/>
        <w:widowControl/>
        <w:jc w:val="both"/>
      </w:pPr>
      <w:r>
        <w:rPr>
          <w:b/>
        </w:rPr>
        <w:t xml:space="preserve">19.1. </w:t>
      </w:r>
      <w:r>
        <w:t>Backups, RTO, RPO e continuidade constam do Anexo III conforme criticidade. Força maior exige comunicação, mitigação e manutenção de obrigações não afetadas.</w:t>
      </w:r>
    </w:p>
    <w:p>
      <w:pPr>
        <w:keepLines w:val="0"/>
        <w:widowControl/>
        <w:jc w:val="both"/>
      </w:pPr>
      <w:r>
        <w:rPr>
          <w:b/>
        </w:rPr>
        <w:t xml:space="preserve">19.2. </w:t>
      </w:r>
      <w:r>
        <w:t>O CLIENTE poderá exportar dados em formato estruturado durante a vigência e na janela pós-término, sem custo de acesso ordinário.</w:t>
      </w:r>
    </w:p>
    <w:p>
      <w:pPr>
        <w:keepLines w:val="0"/>
        <w:widowControl/>
        <w:jc w:val="both"/>
      </w:pPr>
      <w:r>
        <w:rPr>
          <w:b/>
        </w:rPr>
        <w:t xml:space="preserve">19.3. </w:t>
      </w:r>
      <w:r>
        <w:t>Migração adicional será orçada previamente; a PROVEDORA não poderá criar lock-in por formato, custo ou retenção não informados.</w:t>
      </w:r>
    </w:p>
    <w:p>
      <w:pPr>
        <w:pStyle w:val="Heading1"/>
        <w:keepNext/>
        <w:spacing w:before="120" w:after="40"/>
      </w:pPr>
      <w:r>
        <w:t>CLÁUSULA 20 - VIGÊNCIA, RENOVAÇÃO, RESCISÃO E SAÍDA</w:t>
      </w:r>
    </w:p>
    <w:p>
      <w:pPr>
        <w:keepLines w:val="0"/>
        <w:widowControl/>
        <w:jc w:val="both"/>
      </w:pPr>
      <w:r>
        <w:rPr>
          <w:b/>
        </w:rPr>
        <w:t xml:space="preserve">20.1. </w:t>
      </w:r>
      <w:r>
        <w:t>Prazo, renovação e aviso constam do quadro-resumo. Inadimplemento material terá cura, salvo fraude, ilicitude, violação grave ou risco urgente.</w:t>
      </w:r>
    </w:p>
    <w:p>
      <w:pPr>
        <w:keepLines w:val="0"/>
        <w:widowControl/>
        <w:jc w:val="both"/>
      </w:pPr>
      <w:r>
        <w:rPr>
          <w:b/>
        </w:rPr>
        <w:t xml:space="preserve">20.2. </w:t>
      </w:r>
      <w:r>
        <w:t>Renovação automática terá aviso e possibilidade de não renovação. Multa de saída será proporcional a investimento ou desconto efetivamente concedido e não equivalerá automaticamente a todas as mensalidades vincendas.</w:t>
      </w:r>
    </w:p>
    <w:p>
      <w:pPr>
        <w:keepLines w:val="0"/>
        <w:widowControl/>
        <w:jc w:val="both"/>
      </w:pPr>
      <w:r>
        <w:rPr>
          <w:b/>
        </w:rPr>
        <w:t xml:space="preserve">20.3. </w:t>
      </w:r>
      <w:r>
        <w:t>No término, haverá exportação, revogação de acessos, eliminação conforme retenção e assistência de transição do Anexo I.</w:t>
      </w:r>
    </w:p>
    <w:p>
      <w:pPr>
        <w:pStyle w:val="Heading1"/>
        <w:keepNext/>
        <w:spacing w:before="120" w:after="40"/>
      </w:pPr>
      <w:r>
        <w:t>CLÁUSULA 21 - DISPOSIÇÕES GERAIS</w:t>
      </w:r>
    </w:p>
    <w:p>
      <w:pPr>
        <w:keepLines w:val="0"/>
        <w:widowControl/>
        <w:jc w:val="both"/>
      </w:pPr>
      <w:r>
        <w:rPr>
          <w:b/>
        </w:rPr>
        <w:t xml:space="preserve">21.1. </w:t>
      </w:r>
      <w:r>
        <w:t>Não há exclusividade, sociedade, mandato ou vínculo. A cessão dependerá de anuência razoável, ressalvada reorganização sem redução de capacidade.</w:t>
      </w:r>
    </w:p>
    <w:p>
      <w:pPr>
        <w:keepLines w:val="0"/>
        <w:widowControl/>
        <w:jc w:val="both"/>
      </w:pPr>
      <w:r>
        <w:rPr>
          <w:b/>
        </w:rPr>
        <w:t xml:space="preserve">21.2. </w:t>
      </w:r>
      <w:r>
        <w:t>Alterações essenciais exigem instrumento escrito; tolerância não implica renúncia; invalidade parcial não afeta o restante.</w:t>
      </w:r>
    </w:p>
    <w:p>
      <w:pPr>
        <w:keepLines w:val="0"/>
        <w:widowControl/>
        <w:jc w:val="both"/>
      </w:pPr>
      <w:r>
        <w:rPr>
          <w:b/>
        </w:rPr>
        <w:t xml:space="preserve">21.3. </w:t>
      </w:r>
      <w:r>
        <w:t>Comunicações e evidências eletrônicas serão aceitas conforme autenticidade, integridade e possibilidade de contraditório.</w:t>
      </w:r>
    </w:p>
    <w:p>
      <w:pPr>
        <w:pStyle w:val="Heading1"/>
        <w:keepNext/>
        <w:spacing w:before="120" w:after="40"/>
      </w:pPr>
      <w:r>
        <w:t>CLÁUSULA 22 - LEI APLICÁVEL E FORO</w:t>
      </w:r>
    </w:p>
    <w:p>
      <w:pPr>
        <w:keepLines w:val="0"/>
        <w:widowControl/>
        <w:jc w:val="both"/>
      </w:pPr>
      <w:r>
        <w:rPr>
          <w:b/>
        </w:rPr>
        <w:t xml:space="preserve">22.1.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22.2.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22.3.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23 -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23.1.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23.2.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23.3.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PROVEDORA DE IA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MÓDULOS, IMPLANTAÇÃO E INTEGRAÇÕES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Item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Descrição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Responsável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Prazo/critério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Módulos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{{MODULOS}}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PROVEDORA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Durante a vigência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Usuários/volumes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{{USUARIOS_VOLUMES}}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CLIENTE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Mensal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Implantação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{{PLANO_IMPLANTACAO}}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Ambas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{{PRAZO_IMPLANTACAO}}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Integrações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{{INTEGRACOES}}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{{RESPONSAVEL}}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{{CRITERIO_ACEITE}}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Serviços profissionais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{{SERVICOS_PROFISSIONAIS}}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PROVEDORA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{{CRONOGRAMA}}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 - CONDIÇÕES COMERCIAIS E LIMITES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Condição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Mensalidade/licença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Implantação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{{PRECO_IMPLANTACAO}}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Pagamento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{{PRAZO_PAGAMENTO}}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Reajuste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{{REAJUSTE}}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Excedentes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{{METRICA_EXCEDENTE}}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Cap de responsabilidade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{{CAP_DE_RESPONSABILIDADE}}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Prazo/renovação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{{VIGENCIA_RENOVACAO}}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Aviso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{{AVISO_PREVIO}}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III - SLA, SUPORTE, CONTINUIDADE E SAÍDA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Indicador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Meta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Medição</w:t>
            </w:r>
          </w:p>
        </w:tc>
        <w:tc>
          <w:tcPr>
            <w:tcW w:type="dxa" w:w="255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Remédio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Disponibilidade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{{META_DISPONIBILIDADE}}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{{FONTE_MEDICAO}}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{{CREDITO}}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Resposta crítica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{{RESPOSTA_CRITICA}}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Tickets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Escalonamento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Solução crítica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{{SOLUCAO_CRITICA}}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Tickets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Plano de ação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RTO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{{RTO}}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Teste de DR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Correção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RPO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{{RPO}}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Backup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Restauração</w:t>
            </w:r>
          </w:p>
        </w:tc>
      </w:tr>
      <w:tr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Exportação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{{FORMATO_EXPORTACAO}}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Validação</w:t>
            </w:r>
          </w:p>
        </w:tc>
        <w:tc>
          <w:tcPr>
            <w:tcW w:type="dxa" w:w="255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Assistência</w:t>
            </w:r>
          </w:p>
        </w:tc>
      </w:tr>
    </w:tbl>
    <w:p>
      <w:pPr>
        <w:pStyle w:val="Heading1"/>
        <w:keepNext/>
        <w:pageBreakBefore w:val="0"/>
        <w:jc w:val="center"/>
      </w:pPr>
      <w:r>
        <w:t>ANEXO IV - TRATAMENTO DE DADOS E SEGURANÇA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Papel do Cliente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{{PAPEL_CLIENTE}}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Papel da Provedora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{{PAPEL_PROVEDORA}}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Dados/titulares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{{DADOS_TITULARES}}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Finalidades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{{FINALIDADES}}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Subprocessadores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{{SUBPROCESSADORES}}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{{MECANISMO_TRANSFERENCIA}}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Controles mínimos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{{CONTROLES_SEGURANCA}}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SA-06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SaaS com Inteligência Artificial Generativa e Modelos de Terceiros</dc:title>
  <dc:subject>Prompts, outputs, treinamento, revisão humana, provedores e mudanças de modelo</dc:subject>
  <dc:creator>Ponderum - Biblioteca de Modelos Contratuais</dc:creator>
  <cp:keywords>SA-06; Licenciamento SaaS;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