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CONTRATO SAAS CRÍTICO COM CONTINUIDADE, ESCROW E DISASTER RECOVERY</w:t>
      </w:r>
    </w:p>
    <w:p>
      <w:pPr>
        <w:pStyle w:val="Subtitle"/>
        <w:spacing w:after="160"/>
        <w:jc w:val="center"/>
      </w:pPr>
      <w:r>
        <w:t>RTO, RPO, redundância, código em escrow, continuidade e saída assistida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Identificador do modelo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SA-08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Categoria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Licenciamento SaaS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Partes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CLIENTE e PROVEDORA CRÍTICA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Módulos/usuários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{{MODULOS_E_USUARIOS}}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Vigência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{{VIGENCIA}}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Preço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{{PRECO_E_FORMA_DE_PAGAMENTO}}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SLA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{{META_DISPONIBILIDADE}}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Dados pessoais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{{PAPEIS_LGPD}}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Portabilidade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{{JANELA_EXPORTACAO}}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Controvérsias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{{FORO_OU_CAMARA_ARBITRAL}}</w:t>
            </w:r>
          </w:p>
        </w:tc>
      </w:tr>
    </w:tbl>
    <w:p/>
    <w:p>
      <w:pPr>
        <w:jc w:val="both"/>
      </w:pPr>
      <w:r>
        <w:t>{{PARTE_A_RAZAO_SOCIAL}}, pessoa jurídica de direito privado, inscrita no CNPJ sob nº {{PARTE_A_CNPJ}}, com sede em {{PARTE_A_ENDERECO}}, neste ato representada na forma de seus atos constitutivos, doravante denominada "CLIENTE"; e</w:t>
      </w:r>
    </w:p>
    <w:p>
      <w:pPr>
        <w:jc w:val="both"/>
      </w:pPr>
      <w:r>
        <w:t>{{PARTE_B_RAZAO_SOCIAL}}, pessoa jurídica de direito privado, inscrita no CNPJ sob nº {{PARTE_B_CNPJ}}, com sede em {{PARTE_B_ENDERECO}}, neste ato representada na forma de seus atos constitutivos, doravante denominada "PROVEDORA CRÍTICA";</w:t>
      </w:r>
    </w:p>
    <w:p>
      <w:pPr>
        <w:jc w:val="both"/>
      </w:pPr>
      <w:r>
        <w:t>em conjunto denominadas "Partes" e, isoladamente, "Parte", resolvem celebrar o presente instrumento, conforme as cláusulas e condições seguintes.</w:t>
      </w:r>
    </w:p>
    <w:p>
      <w:pPr>
        <w:pStyle w:val="Heading1"/>
      </w:pPr>
      <w:r>
        <w:t>CONSIDERANDOS</w:t>
      </w:r>
    </w:p>
    <w:p>
      <w:pPr>
        <w:ind w:left="283" w:hanging="170"/>
      </w:pPr>
      <w:r>
        <w:rPr>
          <w:b/>
        </w:rPr>
        <w:t xml:space="preserve">• </w:t>
      </w:r>
      <w:r>
        <w:t>que a PROVEDORA CRÍTICA desenvolve ou opera a plataforma indicada;</w:t>
      </w:r>
    </w:p>
    <w:p>
      <w:pPr>
        <w:ind w:left="283" w:hanging="170"/>
      </w:pPr>
      <w:r>
        <w:rPr>
          <w:b/>
        </w:rPr>
        <w:t xml:space="preserve">• </w:t>
      </w:r>
      <w:r>
        <w:t>que a CLIENTE pretende utilizar a solução dentro dos limites de usuários, dados, módulos e finalidade contratados;</w:t>
      </w:r>
    </w:p>
    <w:p>
      <w:pPr>
        <w:ind w:left="283" w:hanging="170"/>
      </w:pPr>
      <w:r>
        <w:rPr>
          <w:b/>
        </w:rPr>
        <w:t xml:space="preserve">• </w:t>
      </w:r>
      <w:r>
        <w:t>que as Partes desejam disciplinar implantação, níveis de serviço, segurança, dados, propriedade intelectual, cobrança e saída.</w:t>
      </w:r>
    </w:p>
    <w:p>
      <w:pPr>
        <w:pStyle w:val="Heading1"/>
        <w:keepNext/>
        <w:spacing w:before="120" w:after="40"/>
      </w:pPr>
      <w:r>
        <w:t>CLÁUSULA 1 - DEFINIÇÕES, DOCUMENTOS E INTERPRETAÇÃO</w:t>
      </w:r>
    </w:p>
    <w:p>
      <w:pPr>
        <w:keepLines w:val="0"/>
        <w:widowControl/>
        <w:jc w:val="both"/>
      </w:pPr>
      <w:r>
        <w:rPr>
          <w:b/>
        </w:rPr>
        <w:t xml:space="preserve">1.1. </w:t>
      </w:r>
      <w:r>
        <w:t>Plataforma, Usuário, Dados do Cliente, Documentação, SLA, Incidente e demais termos terão o significado deste Contrato e Anexos.</w:t>
      </w:r>
    </w:p>
    <w:p>
      <w:pPr>
        <w:keepLines w:val="0"/>
        <w:widowControl/>
        <w:jc w:val="both"/>
      </w:pPr>
      <w:r>
        <w:rPr>
          <w:b/>
        </w:rPr>
        <w:t xml:space="preserve">1.2. </w:t>
      </w:r>
      <w:r>
        <w:t>Prevalecerão aditivo, quadro-resumo, Contrato, Anexo de Dados, SLA, escopo e documentação. Termos online somente integrarão a relação se identificados, acessíveis e compatíveis com o instrumento negociado.</w:t>
      </w:r>
    </w:p>
    <w:p>
      <w:pPr>
        <w:keepLines w:val="0"/>
        <w:widowControl/>
        <w:jc w:val="both"/>
      </w:pPr>
      <w:r>
        <w:rPr>
          <w:b/>
        </w:rPr>
        <w:t xml:space="preserve">1.3. </w:t>
      </w:r>
      <w:r>
        <w:t>Nenhuma atualização poderá alterar retroativamente preço, responsabilidade, titularidade ou solução de controvérsias.</w:t>
      </w:r>
    </w:p>
    <w:p>
      <w:pPr>
        <w:pStyle w:val="Heading1"/>
        <w:keepNext/>
        <w:spacing w:before="120" w:after="40"/>
      </w:pPr>
      <w:r>
        <w:t>CLÁUSULA 2 - OBJETO, LICENÇA E AMBIENTE</w:t>
      </w:r>
    </w:p>
    <w:p>
      <w:pPr>
        <w:keepLines w:val="0"/>
        <w:widowControl/>
        <w:jc w:val="both"/>
      </w:pPr>
      <w:r>
        <w:rPr>
          <w:b/>
        </w:rPr>
        <w:t xml:space="preserve">2.1. </w:t>
      </w:r>
      <w:r>
        <w:t>A PROVEDORA CRÍTICA disponibilizará plataforma essencial e manterá controles de continuidade, recuperação e saída conforme criticidade e arquitetura do Anexo I.</w:t>
      </w:r>
    </w:p>
    <w:p>
      <w:pPr>
        <w:keepLines w:val="0"/>
        <w:widowControl/>
        <w:jc w:val="both"/>
      </w:pPr>
      <w:r>
        <w:rPr>
          <w:b/>
        </w:rPr>
        <w:t xml:space="preserve">2.2. </w:t>
      </w:r>
      <w:r>
        <w:t>A licença será não exclusiva, não transferível, limitada à vigência, entidades, usuários, volumes e finalidades contratados. Não há transferência de código-fonte ou titularidade.</w:t>
      </w:r>
    </w:p>
    <w:p>
      <w:pPr>
        <w:keepLines w:val="0"/>
        <w:widowControl/>
        <w:jc w:val="both"/>
      </w:pPr>
      <w:r>
        <w:rPr>
          <w:b/>
        </w:rPr>
        <w:t xml:space="preserve">2.3. </w:t>
      </w:r>
      <w:r>
        <w:t>Módulos, ambientes, integrações, limites e serviços profissionais constam do Anexo I. Funcionalidade não descrita ou roadmap não formalizado não integra a obrigação.</w:t>
      </w:r>
    </w:p>
    <w:p>
      <w:pPr>
        <w:pStyle w:val="Heading1"/>
        <w:keepNext/>
        <w:spacing w:before="120" w:after="40"/>
      </w:pPr>
      <w:r>
        <w:t>CLÁUSULA 3 - IMPLANTAÇÃO, CONFIGURAÇÃO E ACEITE</w:t>
      </w:r>
    </w:p>
    <w:p>
      <w:pPr>
        <w:keepLines w:val="0"/>
        <w:widowControl/>
        <w:jc w:val="both"/>
      </w:pPr>
      <w:r>
        <w:rPr>
          <w:b/>
        </w:rPr>
        <w:t xml:space="preserve">3.1. </w:t>
      </w:r>
      <w:r>
        <w:t>Quando aplicável, o plano indicará cronograma, responsáveis, dados, ambientes, testes, migração e critérios de go-live.</w:t>
      </w:r>
    </w:p>
    <w:p>
      <w:pPr>
        <w:keepLines w:val="0"/>
        <w:widowControl/>
        <w:jc w:val="both"/>
      </w:pPr>
      <w:r>
        <w:rPr>
          <w:b/>
        </w:rPr>
        <w:t xml:space="preserve">3.2. </w:t>
      </w:r>
      <w:r>
        <w:t>Rejeição deverá apontar requisito e evidência. Aceite operacional não abrange defeito oculto, segurança ou requisito verificável apenas em produção.</w:t>
      </w:r>
    </w:p>
    <w:p>
      <w:pPr>
        <w:keepLines w:val="0"/>
        <w:widowControl/>
        <w:jc w:val="both"/>
      </w:pPr>
      <w:r>
        <w:rPr>
          <w:b/>
        </w:rPr>
        <w:t xml:space="preserve">3.3. </w:t>
      </w:r>
      <w:r>
        <w:t>Atraso decorrente de dependência do CLIENTE prorrogará o cronograma na medida do impacto demonstrado.</w:t>
      </w:r>
    </w:p>
    <w:p>
      <w:pPr>
        <w:pStyle w:val="Heading1"/>
        <w:keepNext/>
        <w:spacing w:before="120" w:after="40"/>
      </w:pPr>
      <w:r>
        <w:t>CLÁUSULA 4 - NÍVEIS DE SERVIÇO, CRÉDITOS E ESCALONAMENTO</w:t>
      </w:r>
    </w:p>
    <w:p>
      <w:pPr>
        <w:keepLines w:val="0"/>
        <w:widowControl/>
        <w:jc w:val="both"/>
      </w:pPr>
      <w:r>
        <w:rPr>
          <w:b/>
        </w:rPr>
        <w:t xml:space="preserve">4.1. </w:t>
      </w:r>
      <w:r>
        <w:t>Os níveis de serviço constarão do Anexo III e serão medidos por fonte auditável. Janelas de manutenção, atos da Parte recebedora, indisponibilidade de terceiro indicado por ela e força maior serão excluídos apenas na proporção comprovada.</w:t>
      </w:r>
    </w:p>
    <w:p>
      <w:pPr>
        <w:keepLines w:val="0"/>
        <w:widowControl/>
        <w:jc w:val="both"/>
      </w:pPr>
      <w:r>
        <w:rPr>
          <w:b/>
        </w:rPr>
        <w:t xml:space="preserve">4.2. </w:t>
      </w:r>
      <w:r>
        <w:t>Créditos de serviço incidirão sobre a parcela afetada, com teto mensal, e não constituirão remédio exclusivo para dolo, violação de confidencialidade, dados, propriedade intelectual ou descumprimento reiterado que autorize rescisão.</w:t>
      </w:r>
    </w:p>
    <w:p>
      <w:pPr>
        <w:keepLines w:val="0"/>
        <w:widowControl/>
        <w:jc w:val="both"/>
      </w:pPr>
      <w:r>
        <w:rPr>
          <w:b/>
        </w:rPr>
        <w:t xml:space="preserve">4.3. </w:t>
      </w:r>
      <w:r>
        <w:t>Falhas críticas seguirão matriz de escalonamento, comunicação de causa raiz e plano de prevenção de recorrência.</w:t>
      </w:r>
    </w:p>
    <w:p>
      <w:pPr>
        <w:pStyle w:val="Heading1"/>
        <w:keepNext/>
        <w:spacing w:before="120" w:after="40"/>
      </w:pPr>
      <w:r>
        <w:t>CLÁUSULA 5 - CONTINUIDADE, RTO, RPO E TESTES</w:t>
      </w:r>
    </w:p>
    <w:p>
      <w:pPr>
        <w:keepLines w:val="0"/>
        <w:widowControl/>
        <w:jc w:val="both"/>
      </w:pPr>
      <w:r>
        <w:rPr>
          <w:b/>
        </w:rPr>
        <w:t xml:space="preserve">5.1. </w:t>
      </w:r>
      <w:r>
        <w:t>RTO, RPO, redundância, backups e regiões constam do Anexo III. Testes de recuperação ocorrerão periodicamente com relatório de resultados e plano de correção.</w:t>
      </w:r>
    </w:p>
    <w:p>
      <w:pPr>
        <w:keepLines w:val="0"/>
        <w:widowControl/>
        <w:jc w:val="both"/>
      </w:pPr>
      <w:r>
        <w:rPr>
          <w:b/>
        </w:rPr>
        <w:t xml:space="preserve">5.2. </w:t>
      </w:r>
      <w:r>
        <w:t>Mudanças de arquitetura que reduzam resiliência dependerão de avaliação e aprovação.</w:t>
      </w:r>
    </w:p>
    <w:p>
      <w:pPr>
        <w:keepLines w:val="0"/>
        <w:widowControl/>
        <w:jc w:val="both"/>
      </w:pPr>
      <w:r>
        <w:rPr>
          <w:b/>
        </w:rPr>
        <w:t xml:space="preserve">5.3. </w:t>
      </w:r>
      <w:r>
        <w:t>Incidentes críticos terão sala de crise, comunicação executiva, causa raiz e ações preventivas.</w:t>
      </w:r>
    </w:p>
    <w:p>
      <w:pPr>
        <w:pStyle w:val="Heading1"/>
        <w:keepNext/>
        <w:spacing w:before="120" w:after="40"/>
      </w:pPr>
      <w:r>
        <w:t>CLÁUSULA 6 - ESCROW, STEP-IN E CÓDIGO-FONTE</w:t>
      </w:r>
    </w:p>
    <w:p>
      <w:pPr>
        <w:keepLines w:val="0"/>
        <w:widowControl/>
        <w:jc w:val="both"/>
      </w:pPr>
      <w:r>
        <w:rPr>
          <w:b/>
        </w:rPr>
        <w:t xml:space="preserve">6.1. </w:t>
      </w:r>
      <w:r>
        <w:t>Quando previsto, código, documentação e chaves necessárias serão depositados em agente de escrow independente e atualizados em periodicidade definida.</w:t>
      </w:r>
    </w:p>
    <w:p>
      <w:pPr>
        <w:keepLines w:val="0"/>
        <w:widowControl/>
        <w:jc w:val="both"/>
      </w:pPr>
      <w:r>
        <w:rPr>
          <w:b/>
        </w:rPr>
        <w:t xml:space="preserve">6.2. </w:t>
      </w:r>
      <w:r>
        <w:t>Liberação ocorrerá apenas nos eventos objetivos do Anexo, como descontinuação, insolvência, abandono ou falha crítica não corrigida, e conferirá licença limitada à continuidade interna.</w:t>
      </w:r>
    </w:p>
    <w:p>
      <w:pPr>
        <w:keepLines w:val="0"/>
        <w:widowControl/>
        <w:jc w:val="both"/>
      </w:pPr>
      <w:r>
        <w:rPr>
          <w:b/>
        </w:rPr>
        <w:t xml:space="preserve">6.3. </w:t>
      </w:r>
      <w:r>
        <w:t>Step-in ou acesso emergencial não transfere titularidade nem autoriza exploração comercial.</w:t>
      </w:r>
    </w:p>
    <w:p>
      <w:pPr>
        <w:pStyle w:val="Heading1"/>
        <w:keepNext/>
        <w:spacing w:before="120" w:after="40"/>
      </w:pPr>
      <w:r>
        <w:t>CLÁUSULA 7 - SAÍDA E PORTABILIDADE</w:t>
      </w:r>
    </w:p>
    <w:p>
      <w:pPr>
        <w:keepLines w:val="0"/>
        <w:widowControl/>
        <w:jc w:val="both"/>
      </w:pPr>
      <w:r>
        <w:rPr>
          <w:b/>
        </w:rPr>
        <w:t xml:space="preserve">7.1. </w:t>
      </w:r>
      <w:r>
        <w:t>A PROVEDORA manterá plano de saída testável, formatos de exportação, documentação e assistência.</w:t>
      </w:r>
    </w:p>
    <w:p>
      <w:pPr>
        <w:keepLines w:val="0"/>
        <w:widowControl/>
        <w:jc w:val="both"/>
      </w:pPr>
      <w:r>
        <w:rPr>
          <w:b/>
        </w:rPr>
        <w:t xml:space="preserve">7.2. </w:t>
      </w:r>
      <w:r>
        <w:t>O CLIENTE não ficará preso por custo não informado ou formato proprietário sem alternativa razoável.</w:t>
      </w:r>
    </w:p>
    <w:p>
      <w:pPr>
        <w:keepLines w:val="0"/>
        <w:widowControl/>
        <w:jc w:val="both"/>
      </w:pPr>
      <w:r>
        <w:rPr>
          <w:b/>
        </w:rPr>
        <w:t xml:space="preserve">7.3. </w:t>
      </w:r>
      <w:r>
        <w:t>Serviços de transição serão remunerados por preços previamente definidos e não poderão ser recusados por valor controvertido não relacionado.</w:t>
      </w:r>
    </w:p>
    <w:p>
      <w:pPr>
        <w:pStyle w:val="Heading1"/>
        <w:keepNext/>
        <w:spacing w:before="120" w:after="40"/>
      </w:pPr>
      <w:r>
        <w:t>CLÁUSULA 8 - CONTAS, USO ACEITÁVEL E SEGURANÇA DO CLIENTE</w:t>
      </w:r>
    </w:p>
    <w:p>
      <w:pPr>
        <w:keepLines w:val="0"/>
        <w:widowControl/>
        <w:jc w:val="both"/>
      </w:pPr>
      <w:r>
        <w:rPr>
          <w:b/>
        </w:rPr>
        <w:t xml:space="preserve">8.1. </w:t>
      </w:r>
      <w:r>
        <w:t>Credenciais serão individuais, protegidas e atribuídas por perfil. O CLIENTE responderá por usuários autorizados e comunicará comprometimento.</w:t>
      </w:r>
    </w:p>
    <w:p>
      <w:pPr>
        <w:keepLines w:val="0"/>
        <w:widowControl/>
        <w:jc w:val="both"/>
      </w:pPr>
      <w:r>
        <w:rPr>
          <w:b/>
        </w:rPr>
        <w:t xml:space="preserve">8.2. </w:t>
      </w:r>
      <w:r>
        <w:t>É vedado uso ilícito, violação de direitos, contorno de limites ou interferência na segurança. Restrições não impedirão interoperabilidade autorizada.</w:t>
      </w:r>
    </w:p>
    <w:p>
      <w:pPr>
        <w:keepLines w:val="0"/>
        <w:widowControl/>
        <w:jc w:val="both"/>
      </w:pPr>
      <w:r>
        <w:rPr>
          <w:b/>
        </w:rPr>
        <w:t xml:space="preserve">8.3. </w:t>
      </w:r>
      <w:r>
        <w:t>Uso excedente será medido e comunicado antes de cobrança ou limitação, salvo risco urgente.</w:t>
      </w:r>
    </w:p>
    <w:p>
      <w:pPr>
        <w:pStyle w:val="Heading1"/>
        <w:keepNext/>
        <w:spacing w:before="120" w:after="40"/>
      </w:pPr>
      <w:r>
        <w:t>CLÁUSULA 9 - PREÇO, FATURAMENTO, REAJUSTE E VOLUMES</w:t>
      </w:r>
    </w:p>
    <w:p>
      <w:pPr>
        <w:keepLines w:val="0"/>
        <w:widowControl/>
        <w:jc w:val="both"/>
      </w:pPr>
      <w:r>
        <w:rPr>
          <w:b/>
        </w:rPr>
        <w:t xml:space="preserve">9.1. </w:t>
      </w:r>
      <w:r>
        <w:t>Planos, unidades, volumes, preço, tributos e pagamento constam do Anexo II. Cobrança adicional depende de métrica objetiva e relatório.</w:t>
      </w:r>
    </w:p>
    <w:p>
      <w:pPr>
        <w:keepLines w:val="0"/>
        <w:widowControl/>
        <w:jc w:val="both"/>
      </w:pPr>
      <w:r>
        <w:rPr>
          <w:b/>
        </w:rPr>
        <w:t xml:space="preserve">9.2. </w:t>
      </w:r>
      <w:r>
        <w:t>Reajuste será anual por índice público. Recomposição extraordinária dependerá de custo comprovado, negociação e direito de rescisão quando afetar materialmente a equação.</w:t>
      </w:r>
    </w:p>
    <w:p>
      <w:pPr>
        <w:keepLines w:val="0"/>
        <w:widowControl/>
        <w:jc w:val="both"/>
      </w:pPr>
      <w:r>
        <w:rPr>
          <w:b/>
        </w:rPr>
        <w:t xml:space="preserve">9.3. </w:t>
      </w:r>
      <w:r>
        <w:t>Valor controvertido não autoriza suspensão integral nem retenção de dados; o incontroverso será pago.</w:t>
      </w:r>
    </w:p>
    <w:p>
      <w:pPr>
        <w:pStyle w:val="Heading1"/>
        <w:keepNext/>
        <w:spacing w:before="120" w:after="40"/>
      </w:pPr>
      <w:r>
        <w:t>CLÁUSULA 10 - SLA, SUPORTE E MANUTENÇÃO</w:t>
      </w:r>
    </w:p>
    <w:p>
      <w:pPr>
        <w:keepLines w:val="0"/>
        <w:widowControl/>
        <w:jc w:val="both"/>
      </w:pPr>
      <w:r>
        <w:rPr>
          <w:b/>
        </w:rPr>
        <w:t xml:space="preserve">10.1. </w:t>
      </w:r>
      <w:r>
        <w:t>Disponibilidade, severidade, resposta, solução, manutenção e canais constam do Anexo III e serão medidos por fonte auditável.</w:t>
      </w:r>
    </w:p>
    <w:p>
      <w:pPr>
        <w:keepLines w:val="0"/>
        <w:widowControl/>
        <w:jc w:val="both"/>
      </w:pPr>
      <w:r>
        <w:rPr>
          <w:b/>
        </w:rPr>
        <w:t xml:space="preserve">10.2. </w:t>
      </w:r>
      <w:r>
        <w:t>Créditos serão proporcionais à parcela afetada e limitados, sem constituir remédio exclusivo para violações graves, repetição ou segurança.</w:t>
      </w:r>
    </w:p>
    <w:p>
      <w:pPr>
        <w:keepLines w:val="0"/>
        <w:widowControl/>
        <w:jc w:val="both"/>
      </w:pPr>
      <w:r>
        <w:rPr>
          <w:b/>
        </w:rPr>
        <w:t xml:space="preserve">10.3. </w:t>
      </w:r>
      <w:r>
        <w:t>Incidente crítico terá escalonamento, comunicação, causa raiz e plano de prevenção.</w:t>
      </w:r>
    </w:p>
    <w:p>
      <w:pPr>
        <w:pStyle w:val="Heading1"/>
        <w:keepNext/>
        <w:spacing w:before="120" w:after="40"/>
      </w:pPr>
      <w:r>
        <w:t>CLÁUSULA 11 - ATUALIZAÇÕES, DEPRECIAÇÃO E GESTÃO DE MUDANÇAS</w:t>
      </w:r>
    </w:p>
    <w:p>
      <w:pPr>
        <w:keepLines w:val="0"/>
        <w:widowControl/>
        <w:jc w:val="both"/>
      </w:pPr>
      <w:r>
        <w:rPr>
          <w:b/>
        </w:rPr>
        <w:t xml:space="preserve">11.1. </w:t>
      </w:r>
      <w:r>
        <w:t>A PROVEDORA poderá evoluir o serviço sem reduzir materialmente funcionalidades contratadas. Mudança incompatível terá aviso e janela de migração proporcional.</w:t>
      </w:r>
    </w:p>
    <w:p>
      <w:pPr>
        <w:keepLines w:val="0"/>
        <w:widowControl/>
        <w:jc w:val="both"/>
      </w:pPr>
      <w:r>
        <w:rPr>
          <w:b/>
        </w:rPr>
        <w:t xml:space="preserve">11.2. </w:t>
      </w:r>
      <w:r>
        <w:t>Correção urgente de segurança poderá ocorrer imediatamente, com comunicação e suporte razoável.</w:t>
      </w:r>
    </w:p>
    <w:p>
      <w:pPr>
        <w:keepLines w:val="0"/>
        <w:widowControl/>
        <w:jc w:val="both"/>
      </w:pPr>
      <w:r>
        <w:rPr>
          <w:b/>
        </w:rPr>
        <w:t xml:space="preserve">11.3. </w:t>
      </w:r>
      <w:r>
        <w:t>Descontinuação de função essencial sem alternativa autoriza plano de correção e, se não resolvida, rescisão da parcela afetada sem multa.</w:t>
      </w:r>
    </w:p>
    <w:p>
      <w:pPr>
        <w:pStyle w:val="Heading1"/>
        <w:keepNext/>
        <w:spacing w:before="120" w:after="40"/>
      </w:pPr>
      <w:r>
        <w:t>CLÁUSULA 12 - DADOS, PAPÉIS E INSTRUÇÕES</w:t>
      </w:r>
    </w:p>
    <w:p>
      <w:pPr>
        <w:keepLines w:val="0"/>
        <w:widowControl/>
        <w:jc w:val="both"/>
      </w:pPr>
      <w:r>
        <w:rPr>
          <w:b/>
        </w:rPr>
        <w:t xml:space="preserve">12.1. </w:t>
      </w:r>
      <w:r>
        <w:t>O CLIENTE controla os Dados do Cliente e a PROVEDORA os tratará conforme papéis e instruções do Anexo IV. A nomenclatura não substituirá a análise das decisões efetivas.</w:t>
      </w:r>
    </w:p>
    <w:p>
      <w:pPr>
        <w:keepLines w:val="0"/>
        <w:widowControl/>
        <w:jc w:val="both"/>
      </w:pPr>
      <w:r>
        <w:rPr>
          <w:b/>
        </w:rPr>
        <w:t xml:space="preserve">12.2. </w:t>
      </w:r>
      <w:r>
        <w:t>A PROVEDORA não usará dados para publicidade, venda, perfil próprio ou treinamento de modelo geral sem autorização específica e base aplicável.</w:t>
      </w:r>
    </w:p>
    <w:p>
      <w:pPr>
        <w:keepLines w:val="0"/>
        <w:widowControl/>
        <w:jc w:val="both"/>
      </w:pPr>
      <w:r>
        <w:rPr>
          <w:b/>
        </w:rPr>
        <w:t xml:space="preserve">12.3. </w:t>
      </w:r>
      <w:r>
        <w:t>O CLIENTE assegurará legitimidade da coleta e instruções; a PROVEDORA alertará sobre instrução manifestamente incompatível.</w:t>
      </w:r>
    </w:p>
    <w:p>
      <w:pPr>
        <w:pStyle w:val="Heading1"/>
        <w:keepNext/>
        <w:spacing w:before="120" w:after="40"/>
      </w:pPr>
      <w:r>
        <w:t>CLÁUSULA 13 - SEGURANÇA, INCIDENTES, SUBPROCESSADORES E TRANSFERÊNCIA</w:t>
      </w:r>
    </w:p>
    <w:p>
      <w:pPr>
        <w:keepLines w:val="0"/>
        <w:widowControl/>
        <w:jc w:val="both"/>
      </w:pPr>
      <w:r>
        <w:rPr>
          <w:b/>
        </w:rPr>
        <w:t xml:space="preserve">13.1. </w:t>
      </w:r>
      <w:r>
        <w:t>A PROVEDORA manterá controles proporcionais, incluindo acesso, logs, criptografia quando adequada, backups, vulnerabilidades e resposta a incidentes.</w:t>
      </w:r>
    </w:p>
    <w:p>
      <w:pPr>
        <w:keepLines w:val="0"/>
        <w:widowControl/>
        <w:jc w:val="both"/>
      </w:pPr>
      <w:r>
        <w:rPr>
          <w:b/>
        </w:rPr>
        <w:t xml:space="preserve">13.2. </w:t>
      </w:r>
      <w:r>
        <w:t>Incidente confirmado será comunicado sem demora indevida, com informações disponíveis e cooperação. Comunicação não é admissão automática de responsabilidade.</w:t>
      </w:r>
    </w:p>
    <w:p>
      <w:pPr>
        <w:keepLines w:val="0"/>
        <w:widowControl/>
        <w:jc w:val="both"/>
      </w:pPr>
      <w:r>
        <w:rPr>
          <w:b/>
        </w:rPr>
        <w:t xml:space="preserve">13.3. </w:t>
      </w:r>
      <w:r>
        <w:t>Subprocessadores serão sujeitos a obrigações equivalentes; transferências internacionais observarão mecanismo válido e transparência prevista no Anexo IV.</w:t>
      </w:r>
    </w:p>
    <w:p>
      <w:pPr>
        <w:pStyle w:val="Heading1"/>
        <w:keepNext/>
        <w:spacing w:before="120" w:after="40"/>
      </w:pPr>
      <w:r>
        <w:t>CLÁUSULA 14 - PROPRIEDADE INTELECTUAL, FEEDBACK E COMPONENTES</w:t>
      </w:r>
    </w:p>
    <w:p>
      <w:pPr>
        <w:keepLines w:val="0"/>
        <w:widowControl/>
        <w:jc w:val="both"/>
      </w:pPr>
      <w:r>
        <w:rPr>
          <w:b/>
        </w:rPr>
        <w:t xml:space="preserve">14.1. </w:t>
      </w:r>
      <w:r>
        <w:t>A PROVEDORA conserva a plataforma, código, modelos, documentação e ferramentas preexistentes. O CLIENTE conserva dados, marcas e materiais que fornecer.</w:t>
      </w:r>
    </w:p>
    <w:p>
      <w:pPr>
        <w:keepLines w:val="0"/>
        <w:widowControl/>
        <w:jc w:val="both"/>
      </w:pPr>
      <w:r>
        <w:rPr>
          <w:b/>
        </w:rPr>
        <w:t xml:space="preserve">14.2. </w:t>
      </w:r>
      <w:r>
        <w:t>Entregáveis customizados terão titularidade ou licença definida no Anexo I. Componentes de terceiros e código aberto serão identificados quando relevantes.</w:t>
      </w:r>
    </w:p>
    <w:p>
      <w:pPr>
        <w:keepLines w:val="0"/>
        <w:widowControl/>
        <w:jc w:val="both"/>
      </w:pPr>
      <w:r>
        <w:rPr>
          <w:b/>
        </w:rPr>
        <w:t xml:space="preserve">14.3. </w:t>
      </w:r>
      <w:r>
        <w:t>Feedback poderá ser usado sem identificação e sem incorporar informação confidencial ou transferir invenção específica não contratada.</w:t>
      </w:r>
    </w:p>
    <w:p>
      <w:pPr>
        <w:pStyle w:val="Heading1"/>
        <w:keepNext/>
        <w:spacing w:before="120" w:after="40"/>
      </w:pPr>
      <w:r>
        <w:t>CLÁUSULA 15 - INTEGRAÇÕES E SERVIÇOS DE TERCEIROS</w:t>
      </w:r>
    </w:p>
    <w:p>
      <w:pPr>
        <w:keepLines w:val="0"/>
        <w:widowControl/>
        <w:jc w:val="both"/>
      </w:pPr>
      <w:r>
        <w:rPr>
          <w:b/>
        </w:rPr>
        <w:t xml:space="preserve">15.1. </w:t>
      </w:r>
      <w:r>
        <w:t>Integrações e provedores externos terão responsabilidades, custos e dependências definidos. A PROVEDORA responde pelo desenho e operação sob seu controle, não por falha exclusiva de terceiro imposto pelo CLIENTE.</w:t>
      </w:r>
    </w:p>
    <w:p>
      <w:pPr>
        <w:keepLines w:val="0"/>
        <w:widowControl/>
        <w:jc w:val="both"/>
      </w:pPr>
      <w:r>
        <w:rPr>
          <w:b/>
        </w:rPr>
        <w:t xml:space="preserve">15.2. </w:t>
      </w:r>
      <w:r>
        <w:t>Mudança de terceiro crítico que altere risco, local ou tratamento terá comunicação e possibilidade de objeção razoável.</w:t>
      </w:r>
    </w:p>
    <w:p>
      <w:pPr>
        <w:keepLines w:val="0"/>
        <w:widowControl/>
        <w:jc w:val="both"/>
      </w:pPr>
      <w:r>
        <w:rPr>
          <w:b/>
        </w:rPr>
        <w:t xml:space="preserve">15.3. </w:t>
      </w:r>
      <w:r>
        <w:t>Credenciais e dados compartilhados com terceiro seguirão menor privilégio e finalidade.</w:t>
      </w:r>
    </w:p>
    <w:p>
      <w:pPr>
        <w:pStyle w:val="Heading1"/>
        <w:keepNext/>
        <w:spacing w:before="120" w:after="40"/>
      </w:pPr>
      <w:r>
        <w:t>CLÁUSULA 16 - CONFIDENCIALIDADE E AUDITORIA</w:t>
      </w:r>
    </w:p>
    <w:p>
      <w:pPr>
        <w:keepLines w:val="0"/>
        <w:widowControl/>
        <w:jc w:val="both"/>
      </w:pPr>
      <w:r>
        <w:rPr>
          <w:b/>
        </w:rPr>
        <w:t xml:space="preserve">16.1. </w:t>
      </w:r>
      <w:r>
        <w:t>Informações não públicas serão protegidas por 5 anos, com exceções usuais e proteção enquanto perdurar a natureza para segredos, credenciais e dados.</w:t>
      </w:r>
    </w:p>
    <w:p>
      <w:pPr>
        <w:keepLines w:val="0"/>
        <w:widowControl/>
        <w:jc w:val="both"/>
      </w:pPr>
      <w:r>
        <w:rPr>
          <w:b/>
        </w:rPr>
        <w:t xml:space="preserve">16.2. </w:t>
      </w:r>
      <w:r>
        <w:t>Auditorias de segurança poderão ser atendidas por relatórios independentes, questionários e evidências, com inspeção presencial apenas quando necessária e proporcional.</w:t>
      </w:r>
    </w:p>
    <w:p>
      <w:pPr>
        <w:keepLines w:val="0"/>
        <w:widowControl/>
        <w:jc w:val="both"/>
      </w:pPr>
      <w:r>
        <w:rPr>
          <w:b/>
        </w:rPr>
        <w:t xml:space="preserve">16.3. </w:t>
      </w:r>
      <w:r>
        <w:t>Nenhuma auditoria dará acesso a código, vulnerabilidade explorável ou dados de outros clientes além do necessário.</w:t>
      </w:r>
    </w:p>
    <w:p>
      <w:pPr>
        <w:pStyle w:val="Heading1"/>
        <w:keepNext/>
        <w:spacing w:before="120" w:after="40"/>
      </w:pPr>
      <w:r>
        <w:t>CLÁUSULA 17 - SUSPENSÃO E CONTROLES DE ABUSO</w:t>
      </w:r>
    </w:p>
    <w:p>
      <w:pPr>
        <w:keepLines w:val="0"/>
        <w:widowControl/>
        <w:jc w:val="both"/>
      </w:pPr>
      <w:r>
        <w:rPr>
          <w:b/>
        </w:rPr>
        <w:t xml:space="preserve">17.1. </w:t>
      </w:r>
      <w:r>
        <w:t>A suspensão será limitada ao usuário, função ou obrigação afetada, mediante aviso e cura quando possível.</w:t>
      </w:r>
    </w:p>
    <w:p>
      <w:pPr>
        <w:keepLines w:val="0"/>
        <w:widowControl/>
        <w:jc w:val="both"/>
      </w:pPr>
      <w:r>
        <w:rPr>
          <w:b/>
        </w:rPr>
        <w:t xml:space="preserve">17.2. </w:t>
      </w:r>
      <w:r>
        <w:t>Risco urgente de segurança, ilícito ou dano a terceiros autoriza suspensão imediata, com fundamentação e revisão posterior.</w:t>
      </w:r>
    </w:p>
    <w:p>
      <w:pPr>
        <w:keepLines w:val="0"/>
        <w:widowControl/>
        <w:jc w:val="both"/>
      </w:pPr>
      <w:r>
        <w:rPr>
          <w:b/>
        </w:rPr>
        <w:t xml:space="preserve">17.3. </w:t>
      </w:r>
      <w:r>
        <w:t>A PROVEDORA não poderá usar suspensão para cobrar valor controvertido desconectado do serviço afetado ou impedir portabilidade.</w:t>
      </w:r>
    </w:p>
    <w:p>
      <w:pPr>
        <w:pStyle w:val="Heading1"/>
        <w:keepNext/>
        <w:spacing w:before="120" w:after="40"/>
      </w:pPr>
      <w:r>
        <w:t>CLÁUSULA 18 - GARANTIAS E RESPONSABILIDADES</w:t>
      </w:r>
    </w:p>
    <w:p>
      <w:pPr>
        <w:keepLines w:val="0"/>
        <w:widowControl/>
        <w:jc w:val="both"/>
      </w:pPr>
      <w:r>
        <w:rPr>
          <w:b/>
        </w:rPr>
        <w:t xml:space="preserve">18.1. </w:t>
      </w:r>
      <w:r>
        <w:t>A PROVEDORA garante operação substancialmente conforme documentação e correção de desconformidades. Não garante serviço ininterrupto ou resultado dependente de terceiros e dados do CLIENTE.</w:t>
      </w:r>
    </w:p>
    <w:p>
      <w:pPr>
        <w:keepLines w:val="0"/>
        <w:widowControl/>
        <w:jc w:val="both"/>
      </w:pPr>
      <w:r>
        <w:rPr>
          <w:b/>
        </w:rPr>
        <w:t xml:space="preserve">18.2. </w:t>
      </w:r>
      <w:r>
        <w:t>Cada Parte responderá por danos diretos comprovados sob seu controle. O cap será {{CAP_DE_RESPONSABILIDADE}}, com exceções negociadas e hipóteses não limitáveis.</w:t>
      </w:r>
    </w:p>
    <w:p>
      <w:pPr>
        <w:keepLines w:val="0"/>
        <w:widowControl/>
        <w:jc w:val="both"/>
      </w:pPr>
      <w:r>
        <w:rPr>
          <w:b/>
        </w:rPr>
        <w:t xml:space="preserve">18.3. </w:t>
      </w:r>
      <w:r>
        <w:t>Reclamação de terceiro terá notificação, participação na defesa e aprovação de acordo. Multa regulatória não será transferida sem causa e contribuição demonstradas.</w:t>
      </w:r>
    </w:p>
    <w:p>
      <w:pPr>
        <w:pStyle w:val="Heading1"/>
        <w:keepNext/>
        <w:spacing w:before="120" w:after="40"/>
      </w:pPr>
      <w:r>
        <w:t>CLÁUSULA 19 - CONTINUIDADE, FORÇA MAIOR E PORTABILIDADE</w:t>
      </w:r>
    </w:p>
    <w:p>
      <w:pPr>
        <w:keepLines w:val="0"/>
        <w:widowControl/>
        <w:jc w:val="both"/>
      </w:pPr>
      <w:r>
        <w:rPr>
          <w:b/>
        </w:rPr>
        <w:t xml:space="preserve">19.1. </w:t>
      </w:r>
      <w:r>
        <w:t>Backups, RTO, RPO e continuidade constam do Anexo III conforme criticidade. Força maior exige comunicação, mitigação e manutenção de obrigações não afetadas.</w:t>
      </w:r>
    </w:p>
    <w:p>
      <w:pPr>
        <w:keepLines w:val="0"/>
        <w:widowControl/>
        <w:jc w:val="both"/>
      </w:pPr>
      <w:r>
        <w:rPr>
          <w:b/>
        </w:rPr>
        <w:t xml:space="preserve">19.2. </w:t>
      </w:r>
      <w:r>
        <w:t>O CLIENTE poderá exportar dados em formato estruturado durante a vigência e na janela pós-término, sem custo de acesso ordinário.</w:t>
      </w:r>
    </w:p>
    <w:p>
      <w:pPr>
        <w:keepLines w:val="0"/>
        <w:widowControl/>
        <w:jc w:val="both"/>
      </w:pPr>
      <w:r>
        <w:rPr>
          <w:b/>
        </w:rPr>
        <w:t xml:space="preserve">19.3. </w:t>
      </w:r>
      <w:r>
        <w:t>Migração adicional será orçada previamente; a PROVEDORA não poderá criar lock-in por formato, custo ou retenção não informados.</w:t>
      </w:r>
    </w:p>
    <w:p>
      <w:pPr>
        <w:pStyle w:val="Heading1"/>
        <w:keepNext/>
        <w:spacing w:before="120" w:after="40"/>
      </w:pPr>
      <w:r>
        <w:t>CLÁUSULA 20 - VIGÊNCIA, RENOVAÇÃO, RESCISÃO E SAÍDA</w:t>
      </w:r>
    </w:p>
    <w:p>
      <w:pPr>
        <w:keepLines w:val="0"/>
        <w:widowControl/>
        <w:jc w:val="both"/>
      </w:pPr>
      <w:r>
        <w:rPr>
          <w:b/>
        </w:rPr>
        <w:t xml:space="preserve">20.1. </w:t>
      </w:r>
      <w:r>
        <w:t>Prazo, renovação e aviso constam do quadro-resumo. Inadimplemento material terá cura, salvo fraude, ilicitude, violação grave ou risco urgente.</w:t>
      </w:r>
    </w:p>
    <w:p>
      <w:pPr>
        <w:keepLines w:val="0"/>
        <w:widowControl/>
        <w:jc w:val="both"/>
      </w:pPr>
      <w:r>
        <w:rPr>
          <w:b/>
        </w:rPr>
        <w:t xml:space="preserve">20.2. </w:t>
      </w:r>
      <w:r>
        <w:t>Renovação automática terá aviso e possibilidade de não renovação. Multa de saída será proporcional a investimento ou desconto efetivamente concedido e não equivalerá automaticamente a todas as mensalidades vincendas.</w:t>
      </w:r>
    </w:p>
    <w:p>
      <w:pPr>
        <w:keepLines w:val="0"/>
        <w:widowControl/>
        <w:jc w:val="both"/>
      </w:pPr>
      <w:r>
        <w:rPr>
          <w:b/>
        </w:rPr>
        <w:t xml:space="preserve">20.3. </w:t>
      </w:r>
      <w:r>
        <w:t>No término, haverá exportação, revogação de acessos, eliminação conforme retenção e assistência de transição do Anexo I.</w:t>
      </w:r>
    </w:p>
    <w:p>
      <w:pPr>
        <w:pStyle w:val="Heading1"/>
        <w:keepNext/>
        <w:spacing w:before="120" w:after="40"/>
      </w:pPr>
      <w:r>
        <w:t>CLÁUSULA 21 - DISPOSIÇÕES GERAIS</w:t>
      </w:r>
    </w:p>
    <w:p>
      <w:pPr>
        <w:keepLines w:val="0"/>
        <w:widowControl/>
        <w:jc w:val="both"/>
      </w:pPr>
      <w:r>
        <w:rPr>
          <w:b/>
        </w:rPr>
        <w:t xml:space="preserve">21.1. </w:t>
      </w:r>
      <w:r>
        <w:t>Não há exclusividade, sociedade, mandato ou vínculo. A cessão dependerá de anuência razoável, ressalvada reorganização sem redução de capacidade.</w:t>
      </w:r>
    </w:p>
    <w:p>
      <w:pPr>
        <w:keepLines w:val="0"/>
        <w:widowControl/>
        <w:jc w:val="both"/>
      </w:pPr>
      <w:r>
        <w:rPr>
          <w:b/>
        </w:rPr>
        <w:t xml:space="preserve">21.2. </w:t>
      </w:r>
      <w:r>
        <w:t>Alterações essenciais exigem instrumento escrito; tolerância não implica renúncia; invalidade parcial não afeta o restante.</w:t>
      </w:r>
    </w:p>
    <w:p>
      <w:pPr>
        <w:keepLines w:val="0"/>
        <w:widowControl/>
        <w:jc w:val="both"/>
      </w:pPr>
      <w:r>
        <w:rPr>
          <w:b/>
        </w:rPr>
        <w:t xml:space="preserve">21.3. </w:t>
      </w:r>
      <w:r>
        <w:t>Comunicações e evidências eletrônicas serão aceitas conforme autenticidade, integridade e possibilidade de contraditório.</w:t>
      </w:r>
    </w:p>
    <w:p>
      <w:pPr>
        <w:pStyle w:val="Heading1"/>
        <w:keepNext/>
        <w:spacing w:before="120" w:after="40"/>
      </w:pPr>
      <w:r>
        <w:t>CLÁUSULA 22 - LEI APLICÁVEL E SOLUÇÃO DE CONTROVÉRSIAS</w:t>
      </w:r>
    </w:p>
    <w:p>
      <w:pPr>
        <w:keepLines w:val="0"/>
        <w:widowControl/>
        <w:jc w:val="both"/>
      </w:pPr>
      <w:r>
        <w:rPr>
          <w:b/>
        </w:rPr>
        <w:t xml:space="preserve">22.1. </w:t>
      </w:r>
      <w:r>
        <w:t>O Contrato será regido pelas leis da República Federativa do Brasil, especialmente pelas normas civis, empresariais e especiais aplicáveis ao objeto.</w:t>
      </w:r>
    </w:p>
    <w:p>
      <w:pPr>
        <w:keepLines w:val="0"/>
        <w:widowControl/>
        <w:jc w:val="both"/>
      </w:pPr>
      <w:r>
        <w:rPr>
          <w:b/>
        </w:rPr>
        <w:t xml:space="preserve">22.2. </w:t>
      </w:r>
      <w:r>
        <w:t>As Partes buscarão solução executiva por 15 dias e, em seguida, mediação por 20 dias, sem impedir medida urgente. Persistindo a controvérsia, ela será resolvida por arbitragem administrada por {{CAMARA_ARBITRAL}}, sede em {{SEDE_ARBITRAGEM}}, idioma português, por {{NUMERO_ARBITROS}} árbitro(s), conforme regulamento vigente.</w:t>
      </w:r>
    </w:p>
    <w:p>
      <w:pPr>
        <w:keepLines w:val="0"/>
        <w:widowControl/>
        <w:jc w:val="both"/>
      </w:pPr>
      <w:r>
        <w:rPr>
          <w:b/>
        </w:rPr>
        <w:t xml:space="preserve">22.3. </w:t>
      </w:r>
      <w:r>
        <w:t>Custos serão adiantados conforme regulamento e alocados na decisão. Medidas cautelares poderão ser requeridas ao Poder Judiciário antes da instituição da arbitragem, sem renúncia à convenção arbitral.</w:t>
      </w:r>
    </w:p>
    <w:p>
      <w:pPr>
        <w:pStyle w:val="Heading1"/>
        <w:keepNext/>
        <w:spacing w:before="120" w:after="40"/>
      </w:pPr>
      <w:r>
        <w:t>CLÁUSULA 23 - ASSINATURA ELETRÔNICA E FORMALIZAÇÃO</w:t>
      </w:r>
    </w:p>
    <w:p>
      <w:pPr>
        <w:keepLines w:val="0"/>
        <w:widowControl/>
        <w:jc w:val="both"/>
      </w:pPr>
      <w:r>
        <w:rPr>
          <w:b/>
        </w:rPr>
        <w:t xml:space="preserve">23.1. </w:t>
      </w:r>
      <w:r>
        <w:t>As Partes reconhecem a validade de assinaturas eletrônicas capazes de comprovar autoria, integridade e manifestação de vontade, inclusive por plataforma aceita pelas Partes, nos termos da Medida Provisória nº 2.200-2/2001 e legislação aplicável.</w:t>
      </w:r>
    </w:p>
    <w:p>
      <w:pPr>
        <w:keepLines w:val="0"/>
        <w:widowControl/>
        <w:jc w:val="both"/>
      </w:pPr>
      <w:r>
        <w:rPr>
          <w:b/>
        </w:rPr>
        <w:t xml:space="preserve">23.2. </w:t>
      </w:r>
      <w:r>
        <w:t>O instrumento poderá ser assinado em vias eletrônicas separadas, consideradas conjunto único. Os signatários declaram possuir poderes e ciência integral do conteúdo.</w:t>
      </w:r>
    </w:p>
    <w:p>
      <w:pPr>
        <w:keepLines w:val="0"/>
        <w:widowControl/>
        <w:jc w:val="both"/>
      </w:pPr>
      <w:r>
        <w:rPr>
          <w:b/>
        </w:rPr>
        <w:t xml:space="preserve">23.3. </w:t>
      </w:r>
      <w:r>
        <w:t>A validade do negócio não depende de testemunhas, salvo exigência legal específica. Para reforçar a executividade como título extrajudicial, as Partes poderão colher assinatura de 2 testemunhas ou adotar mecanismo juridicamente suficiente à natureza da obrigação.</w:t>
      </w:r>
    </w:p>
    <w:p>
      <w:pPr>
        <w:jc w:val="center"/>
      </w:pPr>
      <w:r>
        <w:rPr>
          <w:b/>
        </w:rPr>
        <w:t>E, por estarem de acordo, as Partes assinam o presente instrumento em {{LOCAL_ASSINATURA}}, {{DATA_ASSINATURA}}.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{{PARTE_A_RAZAO_SOCIAL}}</w:t>
              <w:br/>
              <w:t>CLIENTE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{{PARTE_B_RAZAO_SOCIAL}}</w:t>
              <w:br/>
              <w:t>PROVEDORA CRÍTICA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1</w:t>
              <w:br/>
              <w:t>Nome: {{TESTEMUNHA_1_NOME}}</w:t>
              <w:br/>
              <w:t>CPF: {{TESTEMUNHA_1_CPF}}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2</w:t>
              <w:br/>
              <w:t>Nome: {{TESTEMUNHA_2_NOME}}</w:t>
              <w:br/>
              <w:t>CPF: {{TESTEMUNHA_2_CPF}}</w:t>
            </w:r>
          </w:p>
        </w:tc>
      </w:tr>
    </w:tbl>
    <w:p>
      <w:r>
        <w:br w:type="page"/>
      </w:r>
    </w:p>
    <w:p>
      <w:pPr>
        <w:pStyle w:val="Heading1"/>
        <w:keepNext/>
        <w:pageBreakBefore w:val="0"/>
        <w:jc w:val="center"/>
      </w:pPr>
      <w:r>
        <w:t>ANEXO I - MÓDULOS, IMPLANTAÇÃO E INTEGRAÇÕES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Item</w:t>
            </w:r>
          </w:p>
        </w:tc>
        <w:tc>
          <w:tcPr>
            <w:tcW w:type="dxa" w:w="255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Descrição</w:t>
            </w:r>
          </w:p>
        </w:tc>
        <w:tc>
          <w:tcPr>
            <w:tcW w:type="dxa" w:w="255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Responsável</w:t>
            </w:r>
          </w:p>
        </w:tc>
        <w:tc>
          <w:tcPr>
            <w:tcW w:type="dxa" w:w="255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Prazo/critério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Módulos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{{MODULOS}}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PROVEDORA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Durante a vigência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Usuários/volumes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{{USUARIOS_VOLUMES}}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CLIENTE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Mensal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Implantação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{{PLANO_IMPLANTACAO}}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Ambas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{{PRAZO_IMPLANTACAO}}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Integrações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{{INTEGRACOES}}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{{RESPONSAVEL}}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{{CRITERIO_ACEITE}}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Serviços profissionais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{{SERVICOS_PROFISSIONAIS}}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PROVEDORA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{{CRONOGRAMA}}</w:t>
            </w:r>
          </w:p>
        </w:tc>
      </w:tr>
    </w:tbl>
    <w:p>
      <w:pPr>
        <w:pStyle w:val="Heading1"/>
        <w:keepNext/>
        <w:pageBreakBefore w:val="0"/>
        <w:jc w:val="center"/>
      </w:pPr>
      <w:r>
        <w:t>ANEXO II - CONDIÇÕES COMERCIAIS E LIMITES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Condição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Mensalidade/licença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{{PRECO}}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Implantação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{{PRECO_IMPLANTACAO}}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Pagamento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{{PRAZO_PAGAMENTO}}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Reajuste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{{REAJUSTE}}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Excedentes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{{METRICA_EXCEDENTE}}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Cap de responsabilidade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{{CAP_DE_RESPONSABILIDADE}}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Prazo/renovação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{{VIGENCIA_RENOVACAO}}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Aviso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{{AVISO_PREVIO}}</w:t>
            </w:r>
          </w:p>
        </w:tc>
      </w:tr>
    </w:tbl>
    <w:p>
      <w:pPr>
        <w:pStyle w:val="Heading1"/>
        <w:keepNext/>
        <w:pageBreakBefore w:val="0"/>
        <w:jc w:val="center"/>
      </w:pPr>
      <w:r>
        <w:t>ANEXO III - SLA, SUPORTE, CONTINUIDADE E SAÍDA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Indicador</w:t>
            </w:r>
          </w:p>
        </w:tc>
        <w:tc>
          <w:tcPr>
            <w:tcW w:type="dxa" w:w="255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Meta</w:t>
            </w:r>
          </w:p>
        </w:tc>
        <w:tc>
          <w:tcPr>
            <w:tcW w:type="dxa" w:w="255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Medição</w:t>
            </w:r>
          </w:p>
        </w:tc>
        <w:tc>
          <w:tcPr>
            <w:tcW w:type="dxa" w:w="255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Remédio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Disponibilidade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{{META_DISPONIBILIDADE}}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{{FONTE_MEDICAO}}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{{CREDITO}}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Resposta crítica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{{RESPOSTA_CRITICA}}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Tickets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Escalonamento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Solução crítica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{{SOLUCAO_CRITICA}}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Tickets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Plano de ação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RTO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{{RTO}}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Teste de DR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Correção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RPO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{{RPO}}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Backup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Restauração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Exportação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{{FORMATO_EXPORTACAO}}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Validação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Assistência</w:t>
            </w:r>
          </w:p>
        </w:tc>
      </w:tr>
    </w:tbl>
    <w:p>
      <w:pPr>
        <w:pStyle w:val="Heading1"/>
        <w:keepNext/>
        <w:pageBreakBefore w:val="0"/>
        <w:jc w:val="center"/>
      </w:pPr>
      <w:r>
        <w:t>ANEXO IV - TRATAMENTO DE DADOS E SEGURANÇA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Definição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Papel do Cliente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{{PAPEL_CLIENTE}}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Papel da Provedora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{{PAPEL_PROVEDORA}}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Dados/titulares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{{DADOS_TITULARES}}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Finalidades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{{FINALIDADES}}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Subprocessadores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{{SUBPROCESSADORES}}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Transferência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{{MECANISMO_TRANSFERENCIA}}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Retenção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{{RETENCAO}}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Incidente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{{PRAZO_INCIDENTE}}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Controles mínimos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{{CONTROLES_SEGURANCA}}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5" w:right="1020" w:bottom="879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654"/>
      <w:gridCol w:w="1871"/>
    </w:tblGrid>
    <w:tr>
      <w:tc>
        <w:tcPr>
          <w:tcW w:type="dxa" w:w="4762"/>
        </w:tcPr>
        <w:p>
          <w:pPr>
            <w:spacing w:after="0"/>
          </w:pPr>
          <w:r/>
          <w:r>
            <w:rPr>
              <w:rFonts w:ascii="Liberation Sans" w:hAnsi="Liberation Sans"/>
              <w:b w:val="0"/>
              <w:color w:val="64748B"/>
              <w:sz w:val="14"/>
            </w:rPr>
            <w:t>Modelo jurídico-base. Substitua os campos {{...}} e valide as condições específicas da operação.</w:t>
          </w:r>
        </w:p>
      </w:tc>
      <w:tc>
        <w:tcPr>
          <w:tcW w:type="dxa" w:w="4762"/>
        </w:tcPr>
        <w:p>
          <w:pPr>
            <w:jc w:val="right"/>
          </w:pPr>
          <w:r>
            <w:rPr>
              <w:color w:val="64748B"/>
              <w:sz w:val="14"/>
            </w:rPr>
            <w:t xml:space="preserve">Página </w:t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Liberation Sans" w:hAnsi="Liberation Sans"/>
        <w:color w:val="64748B"/>
        <w:sz w:val="15"/>
      </w:rPr>
      <w:t>PONDERUM | SA-08 | MODELO PARAMETRIZÁVEL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Liberation Sans" w:hAnsi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0203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E7C7B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0203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b/>
      <w:i/>
      <w:iCs/>
      <w:color w:val="4B5563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SaaS Crítico com Continuidade, Escrow e Disaster Recovery</dc:title>
  <dc:subject>RTO, RPO, redundância, código em escrow, continuidade e saída assistida</dc:subject>
  <dc:creator>Ponderum - Biblioteca de Modelos Contratuais</dc:creator>
  <cp:keywords>SA-08; Licenciamento SaaS; contrato; modelo; Ponderum</cp:keywords>
  <dc:description>Revisão-base em 25 de julho de 2026. Modelo parametrizável.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