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center"/>
      </w:pPr>
      <w:r>
        <w:t>ACORDO DE CONFIDENCIALIDADE COM DADOS PESSOAIS, SEGURANÇA E INCIDENTES</w:t>
      </w:r>
    </w:p>
    <w:p>
      <w:pPr>
        <w:pStyle w:val="Subtitle"/>
        <w:spacing w:after="160"/>
        <w:jc w:val="center"/>
      </w:pPr>
      <w:r>
        <w:t>Sigilo reforçado, dados pessoais, acessos, suboperadores e resposta a incidentes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Identificador do modelo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ND-08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Categoria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NDA / Confidencialidade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Partes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CONTROLADORA e RECEPTORA/OPERADORA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Finalidade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{{FINALIDADE_DO_NDA}}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Projeto/operação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{{PROJETO_OU_OPERACAO}}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Vigência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{{VIGENCIA}}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Prazo de sigilo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{{PRAZO_SIGILO}}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Informações críticas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{{CATEGORIAS_INFORMACAO}}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Dados pessoais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{{HA_DADOS_PESSOAIS}}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Controvérsias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{{FORO_OU_CAMARA_ARBITRAL}}</w:t>
            </w:r>
          </w:p>
        </w:tc>
      </w:tr>
    </w:tbl>
    <w:p/>
    <w:p>
      <w:pPr>
        <w:jc w:val="both"/>
      </w:pPr>
      <w:r>
        <w:t>{{PARTE_A_RAZAO_SOCIAL}}, pessoa jurídica de direito privado, inscrita no CNPJ sob nº {{PARTE_A_CNPJ}}, com sede em {{PARTE_A_ENDERECO}}, neste ato representada na forma de seus atos constitutivos, doravante denominada "CONTROLADORA"; e</w:t>
      </w:r>
    </w:p>
    <w:p>
      <w:pPr>
        <w:jc w:val="both"/>
      </w:pPr>
      <w:r>
        <w:t>{{PARTE_B_RAZAO_SOCIAL}}, pessoa jurídica de direito privado, inscrita no CNPJ sob nº {{PARTE_B_CNPJ}}, com sede em {{PARTE_B_ENDERECO}}, neste ato representada na forma de seus atos constitutivos, doravante denominada "RECEPTORA/OPERADORA";</w:t>
      </w:r>
    </w:p>
    <w:p>
      <w:pPr>
        <w:jc w:val="both"/>
      </w:pPr>
      <w:r>
        <w:t>em conjunto denominadas "Partes" e, isoladamente, "Parte", resolvem celebrar o presente instrumento, conforme as cláusulas e condições seguintes.</w:t>
      </w:r>
    </w:p>
    <w:p>
      <w:pPr>
        <w:pStyle w:val="Heading1"/>
      </w:pPr>
      <w:r>
        <w:t>CONSIDERANDOS</w:t>
      </w:r>
    </w:p>
    <w:p>
      <w:pPr>
        <w:ind w:left="283" w:hanging="170"/>
      </w:pPr>
      <w:r>
        <w:rPr>
          <w:b/>
        </w:rPr>
        <w:t xml:space="preserve">• </w:t>
      </w:r>
      <w:r>
        <w:t>que as Partes pretendem avaliar ou desenvolver a finalidade indicada no quadro-resumo, sem obrigação de concluir transação;</w:t>
      </w:r>
    </w:p>
    <w:p>
      <w:pPr>
        <w:ind w:left="283" w:hanging="170"/>
      </w:pPr>
      <w:r>
        <w:rPr>
          <w:b/>
        </w:rPr>
        <w:t xml:space="preserve">• </w:t>
      </w:r>
      <w:r>
        <w:t>que a troca poderá envolver informações estratégicas, técnicas, comerciais, pessoais ou reguladas, cuja proteção exige critérios objetivos;</w:t>
      </w:r>
    </w:p>
    <w:p>
      <w:pPr>
        <w:ind w:left="283" w:hanging="170"/>
      </w:pPr>
      <w:r>
        <w:rPr>
          <w:b/>
        </w:rPr>
        <w:t xml:space="preserve">• </w:t>
      </w:r>
      <w:r>
        <w:t>que as Partes desejam preservar confidencialidade, segurança e uso restrito sem criar restrição concorrencial, licença ou responsabilidade além do necessário.</w:t>
      </w:r>
    </w:p>
    <w:p>
      <w:pPr>
        <w:pStyle w:val="Heading1"/>
        <w:keepNext/>
        <w:spacing w:before="120" w:after="40"/>
      </w:pPr>
      <w:r>
        <w:t>CLÁUSULA 1 - DEFINIÇÕES E INTERPRETAÇÃO</w:t>
      </w:r>
    </w:p>
    <w:p>
      <w:pPr>
        <w:keepLines w:val="0"/>
        <w:widowControl/>
        <w:jc w:val="both"/>
      </w:pPr>
      <w:r>
        <w:rPr>
          <w:b/>
        </w:rPr>
        <w:t xml:space="preserve">1.1. </w:t>
      </w:r>
      <w:r>
        <w:t>"Informações Confidenciais" compreendem informações não públicas, em qualquer suporte, cuja natureza, marcação ou contexto indiquem razoavelmente sigilo, inclusive estratégias, preços, dados, código, credenciais, documentos, amostras e análises derivadas.</w:t>
      </w:r>
    </w:p>
    <w:p>
      <w:pPr>
        <w:keepLines w:val="0"/>
        <w:widowControl/>
        <w:jc w:val="both"/>
      </w:pPr>
      <w:r>
        <w:rPr>
          <w:b/>
        </w:rPr>
        <w:t xml:space="preserve">1.2. </w:t>
      </w:r>
      <w:r>
        <w:t>Em caso de conflito, prevalecerão aditivo assinado, quadro-resumo, corpo deste Acordo e anexos. Nenhuma prática informal ampliará prazo, finalidade, restrição ou responsabilidade.</w:t>
      </w:r>
    </w:p>
    <w:p>
      <w:pPr>
        <w:keepLines w:val="0"/>
        <w:widowControl/>
        <w:jc w:val="both"/>
      </w:pPr>
      <w:r>
        <w:rPr>
          <w:b/>
        </w:rPr>
        <w:t xml:space="preserve">1.3. </w:t>
      </w:r>
      <w:r>
        <w:t>As obrigações serão interpretadas de forma proporcional à sensibilidade, à finalidade e aos controles razoavelmente disponíveis.</w:t>
      </w:r>
    </w:p>
    <w:p>
      <w:pPr>
        <w:pStyle w:val="Heading1"/>
        <w:keepNext/>
        <w:spacing w:before="120" w:after="40"/>
      </w:pPr>
      <w:r>
        <w:t>CLÁUSULA 2 - FINALIDADE E AUSÊNCIA DE OBRIGAÇÃO DE CONTRATAR</w:t>
      </w:r>
    </w:p>
    <w:p>
      <w:pPr>
        <w:keepLines w:val="0"/>
        <w:widowControl/>
        <w:jc w:val="both"/>
      </w:pPr>
      <w:r>
        <w:rPr>
          <w:b/>
        </w:rPr>
        <w:t xml:space="preserve">2.1. </w:t>
      </w:r>
      <w:r>
        <w:t>A CONTROLADORA disponibilizará informações e dados pessoais para {{FINALIDADE}}, cabendo à RECEPTORA/OPERADORA limitar o tratamento às instruções e bases aplicáveis.</w:t>
      </w:r>
    </w:p>
    <w:p>
      <w:pPr>
        <w:keepLines w:val="0"/>
        <w:widowControl/>
        <w:jc w:val="both"/>
      </w:pPr>
      <w:r>
        <w:rPr>
          <w:b/>
        </w:rPr>
        <w:t xml:space="preserve">2.2. </w:t>
      </w:r>
      <w:r>
        <w:t>Nenhuma Parte é obrigada a revelar informação, concluir transação, conceder exclusividade ou continuar negociações. Cada Parte arcará com seus custos, salvo ajuste expresso.</w:t>
      </w:r>
    </w:p>
    <w:p>
      <w:pPr>
        <w:keepLines w:val="0"/>
        <w:widowControl/>
        <w:jc w:val="both"/>
      </w:pPr>
      <w:r>
        <w:rPr>
          <w:b/>
        </w:rPr>
        <w:t xml:space="preserve">2.3. </w:t>
      </w:r>
      <w:r>
        <w:t>A divulgação não constitui oferta, recomendação, garantia de resultado, sociedade, mandato ou licença além do uso restrito previsto.</w:t>
      </w:r>
    </w:p>
    <w:p>
      <w:pPr>
        <w:pStyle w:val="Heading1"/>
        <w:keepNext/>
        <w:spacing w:before="120" w:after="40"/>
      </w:pPr>
      <w:r>
        <w:t>CLÁUSULA 3 - INFORMAÇÕES PROTEGIDAS E EXCLUSÕES</w:t>
      </w:r>
    </w:p>
    <w:p>
      <w:pPr>
        <w:keepLines w:val="0"/>
        <w:widowControl/>
        <w:jc w:val="both"/>
      </w:pPr>
      <w:r>
        <w:rPr>
          <w:b/>
        </w:rPr>
        <w:t xml:space="preserve">3.1. </w:t>
      </w:r>
      <w:r>
        <w:t>Não serão confidenciais informações comprovadamente públicas sem violação, legitimamente conhecidas antes da divulgação, recebidas de terceiro autorizado, desenvolvidas de forma independente ou cuja divulgação tenha sido autorizada por escrito.</w:t>
      </w:r>
    </w:p>
    <w:p>
      <w:pPr>
        <w:keepLines w:val="0"/>
        <w:widowControl/>
        <w:jc w:val="both"/>
      </w:pPr>
      <w:r>
        <w:rPr>
          <w:b/>
        </w:rPr>
        <w:t xml:space="preserve">3.2. </w:t>
      </w:r>
      <w:r>
        <w:t>A Parte receptora suportará o ônus de demonstrar a exceção por registros razoáveis, sem presunção automática de violação pela simples semelhança entre informações.</w:t>
      </w:r>
    </w:p>
    <w:p>
      <w:pPr>
        <w:keepLines w:val="0"/>
        <w:widowControl/>
        <w:jc w:val="both"/>
      </w:pPr>
      <w:r>
        <w:rPr>
          <w:b/>
        </w:rPr>
        <w:t xml:space="preserve">3.3. </w:t>
      </w:r>
      <w:r>
        <w:t>Combinações, análises e compilações poderão permanecer protegidas mesmo quando elementos isolados forem públicos.</w:t>
      </w:r>
    </w:p>
    <w:p>
      <w:pPr>
        <w:pStyle w:val="Heading1"/>
        <w:keepNext/>
        <w:spacing w:before="120" w:after="40"/>
      </w:pPr>
      <w:r>
        <w:t>CLÁUSULA 4 - PADRÃO DE CUIDADO E SEGURANÇA</w:t>
      </w:r>
    </w:p>
    <w:p>
      <w:pPr>
        <w:keepLines w:val="0"/>
        <w:widowControl/>
        <w:jc w:val="both"/>
      </w:pPr>
      <w:r>
        <w:rPr>
          <w:b/>
        </w:rPr>
        <w:t xml:space="preserve">4.1. </w:t>
      </w:r>
      <w:r>
        <w:t>A Parte receptora protegerá as informações com, no mínimo, o mesmo cuidado aplicado às suas informações equivalentes e nunca abaixo de padrão razoável.</w:t>
      </w:r>
    </w:p>
    <w:p>
      <w:pPr>
        <w:keepLines w:val="0"/>
        <w:widowControl/>
        <w:jc w:val="both"/>
      </w:pPr>
      <w:r>
        <w:rPr>
          <w:b/>
        </w:rPr>
        <w:t xml:space="preserve">4.2. </w:t>
      </w:r>
      <w:r>
        <w:t>Serão adotados controles de acesso, autenticação, registro, armazenamento e descarte proporcionais. Credenciais e chaves não poderão ser compartilhadas fora da equipe autorizada.</w:t>
      </w:r>
    </w:p>
    <w:p>
      <w:pPr>
        <w:keepLines w:val="0"/>
        <w:widowControl/>
        <w:jc w:val="both"/>
      </w:pPr>
      <w:r>
        <w:rPr>
          <w:b/>
        </w:rPr>
        <w:t xml:space="preserve">4.3. </w:t>
      </w:r>
      <w:r>
        <w:t>Suspeita de acesso indevido será comunicada sem demora, com medidas de contenção e preservação de evidências.</w:t>
      </w:r>
    </w:p>
    <w:p>
      <w:pPr>
        <w:pStyle w:val="Heading1"/>
        <w:keepNext/>
        <w:spacing w:before="120" w:after="40"/>
      </w:pPr>
      <w:r>
        <w:t>CLÁUSULA 5 - USO, REPRESENTANTES E RESTRIÇÕES</w:t>
      </w:r>
    </w:p>
    <w:p>
      <w:pPr>
        <w:keepLines w:val="0"/>
        <w:widowControl/>
        <w:jc w:val="both"/>
      </w:pPr>
      <w:r>
        <w:rPr>
          <w:b/>
        </w:rPr>
        <w:t xml:space="preserve">5.1. </w:t>
      </w:r>
      <w:r>
        <w:t>As informações serão usadas apenas para {{FINALIDADE_DO_NDA}} e acessadas por empregados, administradores, afiliadas, financiadores ou assessores que necessitem conhecê-las e estejam sujeitos a dever de sigilo.</w:t>
      </w:r>
    </w:p>
    <w:p>
      <w:pPr>
        <w:keepLines w:val="0"/>
        <w:widowControl/>
        <w:jc w:val="both"/>
      </w:pPr>
      <w:r>
        <w:rPr>
          <w:b/>
        </w:rPr>
        <w:t xml:space="preserve">5.2. </w:t>
      </w:r>
      <w:r>
        <w:t>A Parte receptora orientará seus representantes e responderá por violações imputáveis à falha de seleção, instrução ou controle, sem responsabilidade automática por ato imprevisível de terceiro regularmente autorizado.</w:t>
      </w:r>
    </w:p>
    <w:p>
      <w:pPr>
        <w:keepLines w:val="0"/>
        <w:widowControl/>
        <w:jc w:val="both"/>
      </w:pPr>
      <w:r>
        <w:rPr>
          <w:b/>
        </w:rPr>
        <w:t xml:space="preserve">5.3. </w:t>
      </w:r>
      <w:r>
        <w:t>É vedado explorar comercialmente, copiar além do necessário, remover avisos, realizar engenharia reversa não autorizada ou usar o conteúdo para treinar modelos de IA, salvo autorização expressa ou permissão legal inderrogável.</w:t>
      </w:r>
    </w:p>
    <w:p>
      <w:pPr>
        <w:pStyle w:val="Heading1"/>
        <w:keepNext/>
        <w:spacing w:before="120" w:after="40"/>
      </w:pPr>
      <w:r>
        <w:t>CLÁUSULA 6 - TRATAMENTO, ACESSOS E SUBOPERADORES</w:t>
      </w:r>
    </w:p>
    <w:p>
      <w:pPr>
        <w:keepLines w:val="0"/>
        <w:widowControl/>
        <w:jc w:val="both"/>
      </w:pPr>
      <w:r>
        <w:rPr>
          <w:b/>
        </w:rPr>
        <w:t xml:space="preserve">6.1. </w:t>
      </w:r>
      <w:r>
        <w:t>O acesso será concedido por perfil, menor privilégio e necessidade. É vedada cópia para ambiente não autorizado ou uso para finalidade própria.</w:t>
      </w:r>
    </w:p>
    <w:p>
      <w:pPr>
        <w:keepLines w:val="0"/>
        <w:widowControl/>
        <w:jc w:val="both"/>
      </w:pPr>
      <w:r>
        <w:rPr>
          <w:b/>
        </w:rPr>
        <w:t xml:space="preserve">6.2. </w:t>
      </w:r>
      <w:r>
        <w:t>Suboperador dependerá de autorização geral ou específica e contrato equivalente, permanecendo a RECEPTORA/OPERADORA responsável por suas instruções e segurança.</w:t>
      </w:r>
    </w:p>
    <w:p>
      <w:pPr>
        <w:keepLines w:val="0"/>
        <w:widowControl/>
        <w:jc w:val="both"/>
      </w:pPr>
      <w:r>
        <w:rPr>
          <w:b/>
        </w:rPr>
        <w:t xml:space="preserve">6.3. </w:t>
      </w:r>
      <w:r>
        <w:t>Solicitações de titulares ou autoridades serão encaminhadas à CONTROLADORA quando relacionadas às decisões desta, sem impedir cumprimento de obrigação própria.</w:t>
      </w:r>
    </w:p>
    <w:p>
      <w:pPr>
        <w:pStyle w:val="Heading1"/>
        <w:keepNext/>
        <w:spacing w:before="120" w:after="40"/>
      </w:pPr>
      <w:r>
        <w:t>CLÁUSULA 7 - INCIDENTES E EVIDÊNCIAS</w:t>
      </w:r>
    </w:p>
    <w:p>
      <w:pPr>
        <w:keepLines w:val="0"/>
        <w:widowControl/>
        <w:jc w:val="both"/>
      </w:pPr>
      <w:r>
        <w:rPr>
          <w:b/>
        </w:rPr>
        <w:t xml:space="preserve">7.1. </w:t>
      </w:r>
      <w:r>
        <w:t>Incidente confirmado será comunicado em até {{PRAZO_INCIDENTE}} horas da confirmação, com atualizações e preservação de evidências.</w:t>
      </w:r>
    </w:p>
    <w:p>
      <w:pPr>
        <w:keepLines w:val="0"/>
        <w:widowControl/>
        <w:jc w:val="both"/>
      </w:pPr>
      <w:r>
        <w:rPr>
          <w:b/>
        </w:rPr>
        <w:t xml:space="preserve">7.2. </w:t>
      </w:r>
      <w:r>
        <w:t>As Partes coordenarão comunicações externas conforme papéis legais, sem atrasar obrigação individual.</w:t>
      </w:r>
    </w:p>
    <w:p>
      <w:pPr>
        <w:keepLines w:val="0"/>
        <w:widowControl/>
        <w:jc w:val="both"/>
      </w:pPr>
      <w:r>
        <w:rPr>
          <w:b/>
        </w:rPr>
        <w:t xml:space="preserve">7.3. </w:t>
      </w:r>
      <w:r>
        <w:t>Custos serão alocados segundo causa, contribuição e dever de mitigação, sem transferência automática de multas.</w:t>
      </w:r>
    </w:p>
    <w:p>
      <w:pPr>
        <w:pStyle w:val="Heading1"/>
        <w:keepNext/>
        <w:spacing w:before="120" w:after="40"/>
      </w:pPr>
      <w:r>
        <w:t>CLÁUSULA 8 - DADOS PESSOAIS E INFORMAÇÕES REGULADAS</w:t>
      </w:r>
    </w:p>
    <w:p>
      <w:pPr>
        <w:keepLines w:val="0"/>
        <w:widowControl/>
        <w:jc w:val="both"/>
      </w:pPr>
      <w:r>
        <w:rPr>
          <w:b/>
        </w:rPr>
        <w:t xml:space="preserve">8.1. </w:t>
      </w:r>
      <w:r>
        <w:t>Dados pessoais serão tratados conforme a Lei nº 13.709/2018, somente na extensão necessária à finalidade, com minimização, acesso restrito, segurança e retenção adequada.</w:t>
      </w:r>
    </w:p>
    <w:p>
      <w:pPr>
        <w:keepLines w:val="0"/>
        <w:widowControl/>
        <w:jc w:val="both"/>
      </w:pPr>
      <w:r>
        <w:rPr>
          <w:b/>
        </w:rPr>
        <w:t xml:space="preserve">8.2. </w:t>
      </w:r>
      <w:r>
        <w:t>Os papéis de controlador e operador decorrerão das decisões efetivamente tomadas. O compartilhamento não autoriza uso para finalidade própria incompatível.</w:t>
      </w:r>
    </w:p>
    <w:p>
      <w:pPr>
        <w:keepLines w:val="0"/>
        <w:widowControl/>
        <w:jc w:val="both"/>
      </w:pPr>
      <w:r>
        <w:rPr>
          <w:b/>
        </w:rPr>
        <w:t xml:space="preserve">8.3. </w:t>
      </w:r>
      <w:r>
        <w:t>Informações sujeitas a sigilo profissional, bancário, concorrencial, sanitário ou regulatório observarão também as regras específicas aplicáveis.</w:t>
      </w:r>
    </w:p>
    <w:p>
      <w:pPr>
        <w:pStyle w:val="Heading1"/>
        <w:keepNext/>
        <w:spacing w:before="120" w:after="40"/>
      </w:pPr>
      <w:r>
        <w:t>CLÁUSULA 9 - DIVULGAÇÃO OBRIGATÓRIA</w:t>
      </w:r>
    </w:p>
    <w:p>
      <w:pPr>
        <w:keepLines w:val="0"/>
        <w:widowControl/>
        <w:jc w:val="both"/>
      </w:pPr>
      <w:r>
        <w:rPr>
          <w:b/>
        </w:rPr>
        <w:t xml:space="preserve">9.1. </w:t>
      </w:r>
      <w:r>
        <w:t>Se obrigada por lei, ordem ou autoridade, a Parte receptora limitará a divulgação ao estritamente necessário e, quando permitido, notificará previamente a Parte divulgadora.</w:t>
      </w:r>
    </w:p>
    <w:p>
      <w:pPr>
        <w:keepLines w:val="0"/>
        <w:widowControl/>
        <w:jc w:val="both"/>
      </w:pPr>
      <w:r>
        <w:rPr>
          <w:b/>
        </w:rPr>
        <w:t xml:space="preserve">9.2. </w:t>
      </w:r>
      <w:r>
        <w:t>As Partes cooperarão para buscar sigilo, medida protetiva ou tratamento restrito, cabendo à Parte interessada os custos extraordinários previamente aprovados.</w:t>
      </w:r>
    </w:p>
    <w:p>
      <w:pPr>
        <w:keepLines w:val="0"/>
        <w:widowControl/>
        <w:jc w:val="both"/>
      </w:pPr>
      <w:r>
        <w:rPr>
          <w:b/>
        </w:rPr>
        <w:t xml:space="preserve">9.3. </w:t>
      </w:r>
      <w:r>
        <w:t>O cumprimento de ordem válida não caracterizará violação, sem prejuízo do dever de evitar divulgação excedente.</w:t>
      </w:r>
    </w:p>
    <w:p>
      <w:pPr>
        <w:pStyle w:val="Heading1"/>
        <w:keepNext/>
        <w:spacing w:before="120" w:after="40"/>
      </w:pPr>
      <w:r>
        <w:t>CLÁUSULA 10 - DEVOLUÇÃO, ELIMINAÇÃO E RETENÇÃO</w:t>
      </w:r>
    </w:p>
    <w:p>
      <w:pPr>
        <w:keepLines w:val="0"/>
        <w:widowControl/>
        <w:jc w:val="both"/>
      </w:pPr>
      <w:r>
        <w:rPr>
          <w:b/>
        </w:rPr>
        <w:t xml:space="preserve">10.1. </w:t>
      </w:r>
      <w:r>
        <w:t>Mediante solicitação ou término da finalidade, a Parte receptora devolverá ou eliminará as informações em prazo razoável, ressalvadas cópias exigidas por lei, auditoria, política legítima de retenção e backups automáticos inacessíveis.</w:t>
      </w:r>
    </w:p>
    <w:p>
      <w:pPr>
        <w:keepLines w:val="0"/>
        <w:widowControl/>
        <w:jc w:val="both"/>
      </w:pPr>
      <w:r>
        <w:rPr>
          <w:b/>
        </w:rPr>
        <w:t xml:space="preserve">10.2. </w:t>
      </w:r>
      <w:r>
        <w:t>Cópias retidas continuarão protegidas e não poderão ser usadas comercialmente. A eliminação não exigirá restauração de backup apenas para exclusão antecipada.</w:t>
      </w:r>
    </w:p>
    <w:p>
      <w:pPr>
        <w:keepLines w:val="0"/>
        <w:widowControl/>
        <w:jc w:val="both"/>
      </w:pPr>
      <w:r>
        <w:rPr>
          <w:b/>
        </w:rPr>
        <w:t xml:space="preserve">10.3. </w:t>
      </w:r>
      <w:r>
        <w:t>A confirmação de eliminação será feita por representante autorizado, sem auditoria forense desproporcional.</w:t>
      </w:r>
    </w:p>
    <w:p>
      <w:pPr>
        <w:pStyle w:val="Heading1"/>
        <w:keepNext/>
        <w:spacing w:before="120" w:after="40"/>
      </w:pPr>
      <w:r>
        <w:t>CLÁUSULA 11 - PROPRIEDADE INTELECTUAL E AUSÊNCIA DE LICENÇA</w:t>
      </w:r>
    </w:p>
    <w:p>
      <w:pPr>
        <w:keepLines w:val="0"/>
        <w:widowControl/>
        <w:jc w:val="both"/>
      </w:pPr>
      <w:r>
        <w:rPr>
          <w:b/>
        </w:rPr>
        <w:t xml:space="preserve">11.1. </w:t>
      </w:r>
      <w:r>
        <w:t>Cada Parte conserva a titularidade de suas informações, marcas, código, métodos, documentos e direitos. Nenhuma cessão ou licença será presumida.</w:t>
      </w:r>
    </w:p>
    <w:p>
      <w:pPr>
        <w:keepLines w:val="0"/>
        <w:widowControl/>
        <w:jc w:val="both"/>
      </w:pPr>
      <w:r>
        <w:rPr>
          <w:b/>
        </w:rPr>
        <w:t xml:space="preserve">11.2. </w:t>
      </w:r>
      <w:r>
        <w:t>Feedback poderá ser usado apenas conforme autorização no Anexo, sem incluir informação confidencial da outra Parte ou transferência implícita de invenção.</w:t>
      </w:r>
    </w:p>
    <w:p>
      <w:pPr>
        <w:keepLines w:val="0"/>
        <w:widowControl/>
        <w:jc w:val="both"/>
      </w:pPr>
      <w:r>
        <w:rPr>
          <w:b/>
        </w:rPr>
        <w:t xml:space="preserve">11.3. </w:t>
      </w:r>
      <w:r>
        <w:t>A titularidade de desenvolvimento futuro dependerá de contrato específico e não nasce deste Acordo.</w:t>
      </w:r>
    </w:p>
    <w:p>
      <w:pPr>
        <w:pStyle w:val="Heading1"/>
        <w:keepNext/>
        <w:spacing w:before="120" w:after="40"/>
      </w:pPr>
      <w:r>
        <w:t>CLÁUSULA 12 - EXATIDÃO, RELIANCE E DECISÕES</w:t>
      </w:r>
    </w:p>
    <w:p>
      <w:pPr>
        <w:keepLines w:val="0"/>
        <w:widowControl/>
        <w:jc w:val="both"/>
      </w:pPr>
      <w:r>
        <w:rPr>
          <w:b/>
        </w:rPr>
        <w:t xml:space="preserve">12.1. </w:t>
      </w:r>
      <w:r>
        <w:t>As informações são fornecidas no estado em que se encontram para avaliação, sem garantia de exatidão ou completude, exceto declaração expressa em instrumento definitivo.</w:t>
      </w:r>
    </w:p>
    <w:p>
      <w:pPr>
        <w:keepLines w:val="0"/>
        <w:widowControl/>
        <w:jc w:val="both"/>
      </w:pPr>
      <w:r>
        <w:rPr>
          <w:b/>
        </w:rPr>
        <w:t xml:space="preserve">12.2. </w:t>
      </w:r>
      <w:r>
        <w:t>A Parte receptora realizará sua própria análise e não poderá tratar projeções, estimativas ou materiais preliminares como promessa de resultado.</w:t>
      </w:r>
    </w:p>
    <w:p>
      <w:pPr>
        <w:keepLines w:val="0"/>
        <w:widowControl/>
        <w:jc w:val="both"/>
      </w:pPr>
      <w:r>
        <w:rPr>
          <w:b/>
        </w:rPr>
        <w:t xml:space="preserve">12.3. </w:t>
      </w:r>
      <w:r>
        <w:t>A exclusão de garantia não autoriza fraude, omissão dolosa ou falsidade deliberada.</w:t>
      </w:r>
    </w:p>
    <w:p>
      <w:pPr>
        <w:pStyle w:val="Heading1"/>
        <w:keepNext/>
        <w:spacing w:before="120" w:after="40"/>
      </w:pPr>
      <w:r>
        <w:t>CLÁUSULA 13 - PRAZO E SOBREVIVÊNCIA</w:t>
      </w:r>
    </w:p>
    <w:p>
      <w:pPr>
        <w:keepLines w:val="0"/>
        <w:widowControl/>
        <w:jc w:val="both"/>
      </w:pPr>
      <w:r>
        <w:rPr>
          <w:b/>
        </w:rPr>
        <w:t xml:space="preserve">13.1. </w:t>
      </w:r>
      <w:r>
        <w:t>O Acordo vigorará por {{VIGENCIA}} e as obrigações de sigilo por {{PRAZO_SIGILO}} anos após cada divulgação.</w:t>
      </w:r>
    </w:p>
    <w:p>
      <w:pPr>
        <w:keepLines w:val="0"/>
        <w:widowControl/>
        <w:jc w:val="both"/>
      </w:pPr>
      <w:r>
        <w:rPr>
          <w:b/>
        </w:rPr>
        <w:t xml:space="preserve">13.2. </w:t>
      </w:r>
      <w:r>
        <w:t>Segredos de negócio, credenciais, dados pessoais e informações protegidas por lei permanecerão sujeitos ao dever enquanto conservarem a natureza ou pelo prazo legal aplicável.</w:t>
      </w:r>
    </w:p>
    <w:p>
      <w:pPr>
        <w:keepLines w:val="0"/>
        <w:widowControl/>
        <w:jc w:val="both"/>
      </w:pPr>
      <w:r>
        <w:rPr>
          <w:b/>
        </w:rPr>
        <w:t xml:space="preserve">13.3. </w:t>
      </w:r>
      <w:r>
        <w:t>O término não afeta direitos, deveres de eliminação, medidas de proteção e responsabilidade por violações anteriores.</w:t>
      </w:r>
    </w:p>
    <w:p>
      <w:pPr>
        <w:pStyle w:val="Heading1"/>
        <w:keepNext/>
        <w:spacing w:before="120" w:after="40"/>
      </w:pPr>
      <w:r>
        <w:t>CLÁUSULA 14 - RESPONSABILIDADE E MEDIDAS DE PROTEÇÃO</w:t>
      </w:r>
    </w:p>
    <w:p>
      <w:pPr>
        <w:keepLines w:val="0"/>
        <w:widowControl/>
        <w:jc w:val="both"/>
      </w:pPr>
      <w:r>
        <w:rPr>
          <w:b/>
        </w:rPr>
        <w:t xml:space="preserve">14.1. </w:t>
      </w:r>
      <w:r>
        <w:t>A Parte prejudicada poderá buscar medida urgente para impedir ou cessar divulgação indevida, sem multa automática, presunção irretratável ou dispensa de demonstração dos requisitos legais.</w:t>
      </w:r>
    </w:p>
    <w:p>
      <w:pPr>
        <w:keepLines w:val="0"/>
        <w:widowControl/>
        <w:jc w:val="both"/>
      </w:pPr>
      <w:r>
        <w:rPr>
          <w:b/>
        </w:rPr>
        <w:t xml:space="preserve">14.2. </w:t>
      </w:r>
      <w:r>
        <w:t>A indenização observará dano direto comprovado, nexo causal, contribuição da parte prejudicada e dever de mitigação. Danos indiretos não serão presumidos.</w:t>
      </w:r>
    </w:p>
    <w:p>
      <w:pPr>
        <w:keepLines w:val="0"/>
        <w:widowControl/>
        <w:jc w:val="both"/>
      </w:pPr>
      <w:r>
        <w:rPr>
          <w:b/>
        </w:rPr>
        <w:t xml:space="preserve">14.3. </w:t>
      </w:r>
      <w:r>
        <w:t>Nenhuma Parte poderá celebrar acordo que imponha obrigação à outra sem consentimento, ressalvadas medidas urgentes de contenção.</w:t>
      </w:r>
    </w:p>
    <w:p>
      <w:pPr>
        <w:pStyle w:val="Heading1"/>
        <w:keepNext/>
        <w:spacing w:before="120" w:after="40"/>
      </w:pPr>
      <w:r>
        <w:t>CLÁUSULA 15 - CESSÃO, PUBLICIDADE E DISPOSIÇÕES GERAIS</w:t>
      </w:r>
    </w:p>
    <w:p>
      <w:pPr>
        <w:keepLines w:val="0"/>
        <w:widowControl/>
        <w:jc w:val="both"/>
      </w:pPr>
      <w:r>
        <w:rPr>
          <w:b/>
        </w:rPr>
        <w:t xml:space="preserve">15.1. </w:t>
      </w:r>
      <w:r>
        <w:t>A cessão dependerá de anuência, exceto para afiliada ou sucessora da operação, mediante manutenção das obrigações e comunicação.</w:t>
      </w:r>
    </w:p>
    <w:p>
      <w:pPr>
        <w:keepLines w:val="0"/>
        <w:widowControl/>
        <w:jc w:val="both"/>
      </w:pPr>
      <w:r>
        <w:rPr>
          <w:b/>
        </w:rPr>
        <w:t xml:space="preserve">15.2. </w:t>
      </w:r>
      <w:r>
        <w:t>Nome, marca, existência das negociações e termos não poderão ser divulgados sem autorização, salvo obrigação legal.</w:t>
      </w:r>
    </w:p>
    <w:p>
      <w:pPr>
        <w:keepLines w:val="0"/>
        <w:widowControl/>
        <w:jc w:val="both"/>
      </w:pPr>
      <w:r>
        <w:rPr>
          <w:b/>
        </w:rPr>
        <w:t xml:space="preserve">15.3. </w:t>
      </w:r>
      <w:r>
        <w:t>A invalidade de uma disposição não afeta as demais; a tolerância não implica renúncia; alterações exigem forma escrita.</w:t>
      </w:r>
    </w:p>
    <w:p>
      <w:pPr>
        <w:pStyle w:val="Heading1"/>
        <w:keepNext/>
        <w:spacing w:before="120" w:after="40"/>
      </w:pPr>
      <w:r>
        <w:t>CLÁUSULA 16 - LEI APLICÁVEL E FORO</w:t>
      </w:r>
    </w:p>
    <w:p>
      <w:pPr>
        <w:keepLines w:val="0"/>
        <w:widowControl/>
        <w:jc w:val="both"/>
      </w:pPr>
      <w:r>
        <w:rPr>
          <w:b/>
        </w:rPr>
        <w:t xml:space="preserve">16.1. </w:t>
      </w:r>
      <w:r>
        <w:t>O Contrato será regido pelas leis da República Federativa do Brasil, especialmente pelas normas civis, empresariais e especiais aplicáveis ao objeto.</w:t>
      </w:r>
    </w:p>
    <w:p>
      <w:pPr>
        <w:keepLines w:val="0"/>
        <w:widowControl/>
        <w:jc w:val="both"/>
      </w:pPr>
      <w:r>
        <w:rPr>
          <w:b/>
        </w:rPr>
        <w:t xml:space="preserve">16.2. </w:t>
      </w:r>
      <w:r>
        <w:t>As Partes buscarão solução negocial por, no mínimo, 15 dias contados da notificação detalhada da controvérsia, salvo urgência ou risco de prescrição.</w:t>
      </w:r>
    </w:p>
    <w:p>
      <w:pPr>
        <w:keepLines w:val="0"/>
        <w:widowControl/>
        <w:jc w:val="both"/>
      </w:pPr>
      <w:r>
        <w:rPr>
          <w:b/>
        </w:rPr>
        <w:t xml:space="preserve">16.3. </w:t>
      </w:r>
      <w:r>
        <w:t>Fica eleito o foro da Comarca de {{FORO}}, por guardar relação com as Partes ou a execução, com renúncia a outro apenas quando juridicamente admissível.</w:t>
      </w:r>
    </w:p>
    <w:p>
      <w:pPr>
        <w:pStyle w:val="Heading1"/>
        <w:keepNext/>
        <w:spacing w:before="120" w:after="40"/>
      </w:pPr>
      <w:r>
        <w:t>CLÁUSULA 17 - ASSINATURA ELETRÔNICA E FORMALIZAÇÃO</w:t>
      </w:r>
    </w:p>
    <w:p>
      <w:pPr>
        <w:keepLines w:val="0"/>
        <w:widowControl/>
        <w:jc w:val="both"/>
      </w:pPr>
      <w:r>
        <w:rPr>
          <w:b/>
        </w:rPr>
        <w:t xml:space="preserve">17.1. </w:t>
      </w:r>
      <w:r>
        <w:t>As Partes reconhecem a validade de assinaturas eletrônicas capazes de comprovar autoria, integridade e manifestação de vontade, inclusive por plataforma aceita pelas Partes, nos termos da Medida Provisória nº 2.200-2/2001 e legislação aplicável.</w:t>
      </w:r>
    </w:p>
    <w:p>
      <w:pPr>
        <w:keepLines w:val="0"/>
        <w:widowControl/>
        <w:jc w:val="both"/>
      </w:pPr>
      <w:r>
        <w:rPr>
          <w:b/>
        </w:rPr>
        <w:t xml:space="preserve">17.2. </w:t>
      </w:r>
      <w:r>
        <w:t>O instrumento poderá ser assinado em vias eletrônicas separadas, consideradas conjunto único. Os signatários declaram possuir poderes e ciência integral do conteúdo.</w:t>
      </w:r>
    </w:p>
    <w:p>
      <w:pPr>
        <w:keepLines w:val="0"/>
        <w:widowControl/>
        <w:jc w:val="both"/>
      </w:pPr>
      <w:r>
        <w:rPr>
          <w:b/>
        </w:rPr>
        <w:t xml:space="preserve">17.3. </w:t>
      </w:r>
      <w:r>
        <w:t>A validade do negócio não depende de testemunhas, salvo exigência legal específica. Para reforçar a executividade como título extrajudicial, as Partes poderão colher assinatura de 2 testemunhas ou adotar mecanismo juridicamente suficiente à natureza da obrigação.</w:t>
      </w:r>
    </w:p>
    <w:p>
      <w:pPr>
        <w:jc w:val="center"/>
      </w:pPr>
      <w:r>
        <w:rPr>
          <w:b/>
        </w:rPr>
        <w:t>E, por estarem de acordo, as Partes assinam o presente instrumento em {{LOCAL_ASSINATURA}}, {{DATA_ASSINATURA}}.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8"/>
              </w:rPr>
              <w:br/>
              <w:br/>
              <w:t>________________________________________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8"/>
              </w:rPr>
              <w:br/>
              <w:br/>
              <w:t>________________________________________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{{PARTE_A_RAZAO_SOCIAL}}</w:t>
              <w:br/>
              <w:t>CONTROLADORA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{{PARTE_B_RAZAO_SOCIAL}}</w:t>
              <w:br/>
              <w:t>RECEPTORA/OPERADORA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br/>
              <w:t>________________________________________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br/>
              <w:t>________________________________________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64748B"/>
                <w:sz w:val="15"/>
              </w:rPr>
              <w:t>TESTEMUNHA 1</w:t>
              <w:br/>
              <w:t>Nome: {{TESTEMUNHA_1_NOME}}</w:t>
              <w:br/>
              <w:t>CPF: {{TESTEMUNHA_1_CPF}}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64748B"/>
                <w:sz w:val="15"/>
              </w:rPr>
              <w:t>TESTEMUNHA 2</w:t>
              <w:br/>
              <w:t>Nome: {{TESTEMUNHA_2_NOME}}</w:t>
              <w:br/>
              <w:t>CPF: {{TESTEMUNHA_2_CPF}}</w:t>
            </w:r>
          </w:p>
        </w:tc>
      </w:tr>
    </w:tbl>
    <w:p>
      <w:r>
        <w:br w:type="page"/>
      </w:r>
    </w:p>
    <w:p>
      <w:pPr>
        <w:pStyle w:val="Heading1"/>
        <w:keepNext/>
        <w:pageBreakBefore w:val="0"/>
        <w:jc w:val="center"/>
      </w:pPr>
      <w:r>
        <w:t>ANEXO I - FINALIDADE, INFORMAÇÕES E PESSOAS AUTORIZADAS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Elemento</w:t>
            </w:r>
          </w:p>
        </w:tc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Definição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Finalidade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{{FINALIDADE_DO_NDA}}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Projeto/operação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{{PROJETO_OU_OPERACAO}}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Categorias de informação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{{CATEGORIAS_INFORMACAO}}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Pessoas autorizadas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{{PESSOAS_AUTORIZADAS}}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Prazo do acordo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{{VIGENCIA}}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Prazo do sigilo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{{PRAZO_SIGILO}}</w:t>
            </w:r>
          </w:p>
        </w:tc>
      </w:tr>
    </w:tbl>
    <w:p>
      <w:pPr>
        <w:jc w:val="both"/>
      </w:pPr>
      <w:r>
        <w:t>Informações concorrencialmente sensíveis, dados pessoais, código ou credenciais deverão receber controles adicionais proporcionais.</w:t>
      </w:r>
    </w:p>
    <w:p>
      <w:pPr>
        <w:pStyle w:val="Heading1"/>
        <w:keepNext/>
        <w:pageBreakBefore w:val="0"/>
        <w:jc w:val="center"/>
      </w:pPr>
      <w:r>
        <w:t>ANEXO II - CONTROLES DE ACESSO, DATA ROOM E CLEAN TEAM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Controle</w:t>
            </w:r>
          </w:p>
        </w:tc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Regra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Ambiente autorizado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{{AMBIENTE_AUTORIZADO}}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Download/impressão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{{REGRA_DOWNLOAD}}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Clean team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{{MEMBROS_CLEAN_TEAM}}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Logs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{{RETENCAO_LOGS}}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Contato externo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{{REGRA_CONTATO}}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Eliminação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{{PRAZO_ELIMINACAO}}</w:t>
            </w:r>
          </w:p>
        </w:tc>
      </w:tr>
    </w:tbl>
    <w:p>
      <w:pPr>
        <w:jc w:val="both"/>
      </w:pPr>
      <w:r>
        <w:t>Acesso será individual, revogável e limitado à necessidade. Exceções deverão ser registradas.</w:t>
      </w:r>
    </w:p>
    <w:p>
      <w:pPr>
        <w:pStyle w:val="Heading1"/>
        <w:keepNext/>
        <w:pageBreakBefore w:val="0"/>
        <w:jc w:val="center"/>
      </w:pPr>
      <w:r>
        <w:t>ANEXO III - DADOS PESSOAIS E INCIDENTES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Elemento</w:t>
            </w:r>
          </w:p>
        </w:tc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Definição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Papéis LGPD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{{PAPEIS_LGPD}}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Dados pessoais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{{CATEGORIAS_DADOS}}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Titulares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{{TITULARES}}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Transferência internacional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{{MECANISMO_TRANSFERENCIA}}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Prazo de incidente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{{PRAZO_INCIDENTE}}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Retenção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{{PRAZO_RETENCAO}}</w:t>
            </w:r>
          </w:p>
        </w:tc>
      </w:tr>
    </w:tbl>
    <w:p>
      <w:pPr>
        <w:jc w:val="both"/>
      </w:pPr>
      <w:r>
        <w:t>O Anexo somente será utilizado quando houver dados pessoais ou transferência internacional.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5" w:right="1020" w:bottom="879" w:left="102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7654"/>
      <w:gridCol w:w="1871"/>
    </w:tblGrid>
    <w:tr>
      <w:tc>
        <w:tcPr>
          <w:tcW w:type="dxa" w:w="4762"/>
        </w:tcPr>
        <w:p>
          <w:pPr>
            <w:spacing w:after="0"/>
          </w:pPr>
          <w:r/>
          <w:r>
            <w:rPr>
              <w:rFonts w:ascii="Liberation Sans" w:hAnsi="Liberation Sans"/>
              <w:b w:val="0"/>
              <w:color w:val="64748B"/>
              <w:sz w:val="14"/>
            </w:rPr>
            <w:t>Modelo jurídico-base. Substitua os campos {{...}} e valide as condições específicas da operação.</w:t>
          </w:r>
        </w:p>
      </w:tc>
      <w:tc>
        <w:tcPr>
          <w:tcW w:type="dxa" w:w="4762"/>
        </w:tcPr>
        <w:p>
          <w:pPr>
            <w:jc w:val="right"/>
          </w:pPr>
          <w:r>
            <w:rPr>
              <w:color w:val="64748B"/>
              <w:sz w:val="14"/>
            </w:rPr>
            <w:t xml:space="preserve">Página </w:t>
          </w:r>
          <w: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Liberation Sans" w:hAnsi="Liberation Sans"/>
        <w:color w:val="64748B"/>
        <w:sz w:val="15"/>
      </w:rPr>
      <w:t>PONDERUM | ND-08 | MODELO PARAMETRIZÁVEL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Liberation Sans" w:hAnsi="Liberation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02033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E7C7B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102033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b/>
      <w:i/>
      <w:iCs/>
      <w:color w:val="4B5563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Acordo de Confidencialidade com Dados Pessoais, Segurança e Incidentes</dc:title>
  <dc:subject>Sigilo reforçado, dados pessoais, acessos, suboperadores e resposta a incidentes</dc:subject>
  <dc:creator>Ponderum - Biblioteca de Modelos Contratuais</dc:creator>
  <cp:keywords>ND-08; NDA / Confidencialidade; contrato; modelo; Ponderum</cp:keywords>
  <dc:description>Revisão-base em 25 de julho de 2026. Modelo parametrizável.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