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INTERNACIONAL DE CONFIDENCIALIDADE COM CLEAN TEAM E DATA ROOM</w:t>
      </w:r>
    </w:p>
    <w:p>
      <w:pPr>
        <w:pStyle w:val="Subtitle"/>
        <w:spacing w:after="160"/>
        <w:jc w:val="center"/>
      </w:pPr>
      <w:r>
        <w:t>Operação internacional, lei aplicável conectada, transferência de dados e assessores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ND-09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DISCLOSING PARTY e RECEIVING PARTY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"DISCLOSING PARTY";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"RECEIVING PARTY";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The Parties will exchange confidential information for {{INTERNATIONAL_TRANSACTION}}, including through a controlled data room and clean-team procedures.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INTERNATIONAL ACCESS AND DATA TRANSFERS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Cross-border access to personal data will follow the lawful transfer mechanism applicable to the relevant roles and jurisdictions, including standard contractual clauses when required.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The data room administrator will maintain access logs, revoke credentials promptly and apply download restrictions to sensitive folders.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Mandatory disclosures will be limited to what is legally required, with prior notice when permitted and reasonable cooperation to seek protective treatment.</w:t>
      </w:r>
    </w:p>
    <w:p>
      <w:pPr>
        <w:pStyle w:val="Heading1"/>
        <w:keepNext/>
        <w:spacing w:before="120" w:after="40"/>
      </w:pPr>
      <w:r>
        <w:t>CLÁUSULA 7 - GOVERNING CONNECTION AND LANGUAGE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The chosen law, forum or arbitral seat must have a material connection with the transaction, financing, group structure or performance.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The controlling language shall be {{CONTROLLING_LANGUAGE}}. Translations are for convenience and shall not override mandatory Brazilian law where applicable.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Each Party acknowledges access to independent counsel and economic capacity compatible with the selected dispute mechanism.</w:t>
      </w:r>
    </w:p>
    <w:p>
      <w:pPr>
        <w:pStyle w:val="Heading1"/>
        <w:keepNext/>
        <w:spacing w:before="120" w:after="40"/>
      </w:pPr>
      <w:r>
        <w:t>CLÁUSULA 8 -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9 -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10 -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11 -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12 -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13 -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14 -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15 -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16 - LEI APLICÁVEL E SOLUÇÃO DE CONTROVÉRSIAS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executiva por 15 dias e, em seguida, mediação por 20 dias, sem impedir medida urgente. Persistindo a controvérsia, ela será resolvida por arbitragem administrada por {{CAMARA_ARBITRAL}}, sede em {{SEDE_ARBITRAGEM}}, idioma português, por {{NUMERO_ARBITROS}} árbitro(s), conforme regulamento vigente.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Custos serão adiantados conforme regulamento e alocados na decisão. Medidas cautelares poderão ser requeridas ao Poder Judiciário antes da instituição da arbitragem, sem renúncia à convenção arbitral.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DISCLOSING PARTY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RECEIVING PARTY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ND-09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Internacional de Confidencialidade com Clean Team e Data Room</dc:title>
  <dc:subject>Operação internacional, lei aplicável conectada, transferência de dados e assessores</dc:subject>
  <dc:creator>Ponderum - Biblioteca de Modelos Contratuais</dc:creator>
  <cp:keywords>ND-09;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