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INDICAÇÃO DE CLIENTES E COMISSÃO</w:t>
      </w:r>
    </w:p>
    <w:p>
      <w:pPr>
        <w:pStyle w:val="Subtitle"/>
        <w:spacing w:after="160"/>
        <w:jc w:val="center"/>
      </w:pPr>
      <w:r>
        <w:t>Lead válido, atribuição, proteção, comissão, estorno e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PC-02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INDICADORA e CONTRATANTE DOS CLIENTES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"INDICADORA";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"CONTRATANTE DOS CLIENTES";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INDICADORA apresentará potenciais clientes e a CONTRATANTE DOS CLIENTES conduzirá negociação, contratação e entrega, pagando comissão quando preenchidos os critérios.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LEAD VÁLIDO E ATRIBUIÇÃO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Lead será válido quando identificado, não estiver em negociação ativa comprovada e for aceito no prazo. O silêncio não cria proteção indefinida.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proteção terá duração e abrangerá a oportunidade específica. Expansões, afiliadas ou novos produtos somente gerarão comissão se previstos.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Conflitos de atribuição serão resolvidos por registros de contato, influência causal e regras do Anexo I.</w:t>
      </w:r>
    </w:p>
    <w:p>
      <w:pPr>
        <w:pStyle w:val="Heading1"/>
        <w:keepNext/>
        <w:spacing w:before="120" w:after="40"/>
      </w:pPr>
      <w:r>
        <w:t>CLÁUSULA 6 - COMISSÃO, FATO GERADOR E ESTORNOS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 comissão incidirá sobre receita líquida efetivamente recebida, ou outro fato gerador expresso, e será paga com relatório.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Estorno somente ocorrerá por cancelamento, inadimplência definitiva, fraude ou devolução vinculada à venda, dentro de prazo definido.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INDICADORA poderá auditar amostra mediante aviso e confidencialidade, arcando com custos salvo diferença material.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INDICADORA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CONTRATANTE DOS CLIENTES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PC-02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Indicação de Clientes e Comissão</dc:title>
  <dc:subject>Lead válido, atribuição, proteção, comissão, estorno e auditoria</dc:subject>
  <dc:creator>Ponderum - Biblioteca de Modelos Contratuais</dc:creator>
  <cp:keywords>PC-02;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