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CO-MARKETING E USO RECÍPROCO DE MARCAS</w:t>
      </w:r>
    </w:p>
    <w:p>
      <w:pPr>
        <w:pStyle w:val="Subtitle"/>
        <w:spacing w:after="160"/>
        <w:jc w:val="center"/>
      </w:pPr>
      <w:r>
        <w:t>Campanhas conjuntas, aprovação, leads, custos, imagem e reputação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PC-04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PARCEIRA A e PARCEIRA B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"PARCEIRA 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"PARCEIRA B";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As Partes desenvolverão campanhas e ações de co-marketing previstas no Anexo I, compartilhando custos, canais, marcas e leads conforme regras objetivas.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APROVAÇÕES, MARCAS E REPUTAÇÃO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Cada uso de marca observará guia, contexto e aprovação. Alterações técnicas mínimas não exigem nova aprovação quando previamente autorizadas.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Nenhuma Parte poderá sugerir sociedade, endosso amplo ou garantia da outra além da ação específica.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Crise reputacional material permitirá suspensão imediata da campanha, seguida de avaliação e retirada coordenada.</w:t>
      </w:r>
    </w:p>
    <w:p>
      <w:pPr>
        <w:pStyle w:val="Heading1"/>
        <w:keepNext/>
        <w:spacing w:before="120" w:after="40"/>
      </w:pPr>
      <w:r>
        <w:t>CLÁUSULA 6 - LEADS, DADOS E CUSTOS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 coleta identificará controladores e avisos. Compartilhamento de leads dependerá de base e expectativa compatível.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Custos serão aprovados por orçamento e comprovantes; benefícios em mídia serão transparentes.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Nenhuma Parte poderá usar lista da outra para finalidade não informada ou transferi-la a terceiro.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PARCEIRA 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PARCEIRA 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PC-04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Co-marketing e Uso Recíproco de Marcas</dc:title>
  <dc:subject>Campanhas conjuntas, aprovação, leads, custos, imagem e reputação</dc:subject>
  <dc:creator>Ponderum - Biblioteca de Modelos Contratuais</dc:creator>
  <cp:keywords>PC-04;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