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CONTRATO DE PARCERIA ESTRATÉGICA DE PRODUTO E INTEGRAÇÃO</w:t>
      </w:r>
    </w:p>
    <w:p>
      <w:pPr>
        <w:pStyle w:val="Subtitle"/>
        <w:spacing w:after="160"/>
        <w:jc w:val="center"/>
      </w:pPr>
      <w:r>
        <w:t>Roadmap conjunto, APIs, suporte, IP, clientes e continuidade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Identificador do modelo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PC-05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Categoria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Parceria Comercial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Partes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PARCEIRA TECNOLÓGICA A e PARCEIRA TECNOLÓGICA B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Oferta/projeto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{{OFERTA_OU_PROJETO}}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Território/canais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{{TERRITORIO_CANAIS}}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Vigência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{{VIGENCIA}}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Comissão/split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{{COMISSAO_OU_SPLIT}}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Metas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{{METAS}}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Exclusividade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{{ESCOPO_EXCLUSIVIDADE}}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Controvérsias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{{FORO_OU_CAMARA_ARBITRAL}}</w:t>
            </w:r>
          </w:p>
        </w:tc>
      </w:tr>
    </w:tbl>
    <w:p/>
    <w:p>
      <w:pPr>
        <w:jc w:val="both"/>
      </w:pPr>
      <w:r>
        <w:t>{{PARTE_A_RAZAO_SOCIAL}}, pessoa jurídica de direito privado, inscrita no CNPJ sob nº {{PARTE_A_CNPJ}}, com sede em {{PARTE_A_ENDERECO}}, neste ato representada na forma de seus atos constitutivos, doravante denominada "PARCEIRA TECNOLÓGICA A"; e</w:t>
      </w:r>
    </w:p>
    <w:p>
      <w:pPr>
        <w:jc w:val="both"/>
      </w:pPr>
      <w:r>
        <w:t>{{PARTE_B_RAZAO_SOCIAL}}, pessoa jurídica de direito privado, inscrita no CNPJ sob nº {{PARTE_B_CNPJ}}, com sede em {{PARTE_B_ENDERECO}}, neste ato representada na forma de seus atos constitutivos, doravante denominada "PARCEIRA TECNOLÓGICA B";</w:t>
      </w:r>
    </w:p>
    <w:p>
      <w:pPr>
        <w:jc w:val="both"/>
      </w:pPr>
      <w:r>
        <w:t>em conjunto denominadas "Partes" e, isoladamente, "Parte", resolvem celebrar o presente instrumento, conforme as cláusulas e condições seguintes.</w:t>
      </w:r>
    </w:p>
    <w:p>
      <w:pPr>
        <w:pStyle w:val="Heading1"/>
      </w:pPr>
      <w:r>
        <w:t>CONSIDERANDOS</w:t>
      </w:r>
    </w:p>
    <w:p>
      <w:pPr>
        <w:ind w:left="283" w:hanging="170"/>
      </w:pPr>
      <w:r>
        <w:rPr>
          <w:b/>
        </w:rPr>
        <w:t xml:space="preserve">• </w:t>
      </w:r>
      <w:r>
        <w:t>que as Partes identificaram oportunidade de cooperação comercial sem constituição de sociedade ou representação automática;</w:t>
      </w:r>
    </w:p>
    <w:p>
      <w:pPr>
        <w:ind w:left="283" w:hanging="170"/>
      </w:pPr>
      <w:r>
        <w:rPr>
          <w:b/>
        </w:rPr>
        <w:t xml:space="preserve">• </w:t>
      </w:r>
      <w:r>
        <w:t>que a parceria exige definição de contribuições, clientes, receita, marcas, dados e governança;</w:t>
      </w:r>
    </w:p>
    <w:p>
      <w:pPr>
        <w:ind w:left="283" w:hanging="170"/>
      </w:pPr>
      <w:r>
        <w:rPr>
          <w:b/>
        </w:rPr>
        <w:t xml:space="preserve">• </w:t>
      </w:r>
      <w:r>
        <w:t>que as Partes desejam preservar autonomia e evitar poderes, exclusividades ou responsabilidades não expressamente assumidos.</w:t>
      </w:r>
    </w:p>
    <w:p>
      <w:pPr>
        <w:pStyle w:val="Heading1"/>
        <w:keepNext/>
        <w:spacing w:before="120" w:after="40"/>
      </w:pPr>
      <w:r>
        <w:t>CLÁUSULA 1 - NATUREZA, DEFINIÇÕES E AUSÊNCIA DE SOCIEDADE</w:t>
      </w:r>
    </w:p>
    <w:p>
      <w:pPr>
        <w:keepLines w:val="0"/>
        <w:widowControl/>
        <w:jc w:val="both"/>
      </w:pPr>
      <w:r>
        <w:rPr>
          <w:b/>
        </w:rPr>
        <w:t xml:space="preserve">1.1. </w:t>
      </w:r>
      <w:r>
        <w:t>A parceria é cooperação empresarial entre Partes independentes e não constitui sociedade, joint venture, mandato, representação, franquia, vínculo laboral ou solidariedade além da lei e do expresso.</w:t>
      </w:r>
    </w:p>
    <w:p>
      <w:pPr>
        <w:keepLines w:val="0"/>
        <w:widowControl/>
        <w:jc w:val="both"/>
      </w:pPr>
      <w:r>
        <w:rPr>
          <w:b/>
        </w:rPr>
        <w:t xml:space="preserve">1.2. </w:t>
      </w:r>
      <w:r>
        <w:t>Nenhuma Parte poderá assumir obrigação, conceder garantia, receber valor ou fazer declaração em nome da outra sem autorização específica.</w:t>
      </w:r>
    </w:p>
    <w:p>
      <w:pPr>
        <w:keepLines w:val="0"/>
        <w:widowControl/>
        <w:jc w:val="both"/>
      </w:pPr>
      <w:r>
        <w:rPr>
          <w:b/>
        </w:rPr>
        <w:t xml:space="preserve">1.3. </w:t>
      </w:r>
      <w:r>
        <w:t>Prevalecerão aditivo, quadro-resumo, Contrato, plano operacional e anexos comerciais.</w:t>
      </w:r>
    </w:p>
    <w:p>
      <w:pPr>
        <w:pStyle w:val="Heading1"/>
        <w:keepNext/>
        <w:spacing w:before="120" w:after="40"/>
      </w:pPr>
      <w:r>
        <w:t>CLÁUSULA 2 - OBJETO E PLANO OPERACIONAL</w:t>
      </w:r>
    </w:p>
    <w:p>
      <w:pPr>
        <w:keepLines w:val="0"/>
        <w:widowControl/>
        <w:jc w:val="both"/>
      </w:pPr>
      <w:r>
        <w:rPr>
          <w:b/>
        </w:rPr>
        <w:t xml:space="preserve">2.1. </w:t>
      </w:r>
      <w:r>
        <w:t>As Partes integrarão seus produtos e coordenarão roadmap, suporte e comercialização nos limites do Anexo I.</w:t>
      </w:r>
    </w:p>
    <w:p>
      <w:pPr>
        <w:keepLines w:val="0"/>
        <w:widowControl/>
        <w:jc w:val="both"/>
      </w:pPr>
      <w:r>
        <w:rPr>
          <w:b/>
        </w:rPr>
        <w:t xml:space="preserve">2.2. </w:t>
      </w:r>
      <w:r>
        <w:t>Atividades, território, produtos, canais, clientes, exclusões e dependências constam do Anexo I. O que não estiver previsto dependerá de aprovação.</w:t>
      </w:r>
    </w:p>
    <w:p>
      <w:pPr>
        <w:keepLines w:val="0"/>
        <w:widowControl/>
        <w:jc w:val="both"/>
      </w:pPr>
      <w:r>
        <w:rPr>
          <w:b/>
        </w:rPr>
        <w:t xml:space="preserve">2.3. </w:t>
      </w:r>
      <w:r>
        <w:t>Cada Parte conservará autonomia para atividades fora do escopo, salvo exclusividade objetiva, proporcional e remunerada.</w:t>
      </w:r>
    </w:p>
    <w:p>
      <w:pPr>
        <w:pStyle w:val="Heading1"/>
        <w:keepNext/>
        <w:spacing w:before="120" w:after="40"/>
      </w:pPr>
      <w:r>
        <w:t>CLÁUSULA 3 - GOVERNANÇA E TOMADA DE DECISÃO</w:t>
      </w:r>
    </w:p>
    <w:p>
      <w:pPr>
        <w:keepLines w:val="0"/>
        <w:widowControl/>
        <w:jc w:val="both"/>
      </w:pPr>
      <w:r>
        <w:rPr>
          <w:b/>
        </w:rPr>
        <w:t xml:space="preserve">3.1. </w:t>
      </w:r>
      <w:r>
        <w:t>Cada Parte indicará gestor. O comitê acompanhará metas, riscos, campanhas, clientes e conciliação, sem poderes para alterar preço, responsabilidade ou prazo sem autorização.</w:t>
      </w:r>
    </w:p>
    <w:p>
      <w:pPr>
        <w:keepLines w:val="0"/>
        <w:widowControl/>
        <w:jc w:val="both"/>
      </w:pPr>
      <w:r>
        <w:rPr>
          <w:b/>
        </w:rPr>
        <w:t xml:space="preserve">3.2. </w:t>
      </w:r>
      <w:r>
        <w:t>Decisões e impedimentos relevantes serão registrados. Impasse será escalado a executivos antes de suspensão ou término.</w:t>
      </w:r>
    </w:p>
    <w:p>
      <w:pPr>
        <w:keepLines w:val="0"/>
        <w:widowControl/>
        <w:jc w:val="both"/>
      </w:pPr>
      <w:r>
        <w:rPr>
          <w:b/>
        </w:rPr>
        <w:t xml:space="preserve">3.3. </w:t>
      </w:r>
      <w:r>
        <w:t>Mudança material exigirá impacto, responsáveis, orçamento e aprovação escrita.</w:t>
      </w:r>
    </w:p>
    <w:p>
      <w:pPr>
        <w:pStyle w:val="Heading1"/>
        <w:keepNext/>
        <w:spacing w:before="120" w:after="40"/>
      </w:pPr>
      <w:r>
        <w:t>CLÁUSULA 4 - CONTRIBUIÇÕES, CUSTOS E RECURSOS</w:t>
      </w:r>
    </w:p>
    <w:p>
      <w:pPr>
        <w:keepLines w:val="0"/>
        <w:widowControl/>
        <w:jc w:val="both"/>
      </w:pPr>
      <w:r>
        <w:rPr>
          <w:b/>
        </w:rPr>
        <w:t xml:space="preserve">4.1. </w:t>
      </w:r>
      <w:r>
        <w:t>Cada Parte disponibilizará as contribuições do Anexo I e suportará seus custos, salvo rateio expresso.</w:t>
      </w:r>
    </w:p>
    <w:p>
      <w:pPr>
        <w:keepLines w:val="0"/>
        <w:widowControl/>
        <w:jc w:val="both"/>
      </w:pPr>
      <w:r>
        <w:rPr>
          <w:b/>
        </w:rPr>
        <w:t xml:space="preserve">4.2. </w:t>
      </w:r>
      <w:r>
        <w:t>Despesa compartilhada dependerá de orçamento, aprovação e comprovante. Benefícios, rebates ou comissões relacionados ao custo serão transparentes.</w:t>
      </w:r>
    </w:p>
    <w:p>
      <w:pPr>
        <w:keepLines w:val="0"/>
        <w:widowControl/>
        <w:jc w:val="both"/>
      </w:pPr>
      <w:r>
        <w:rPr>
          <w:b/>
        </w:rPr>
        <w:t xml:space="preserve">4.3. </w:t>
      </w:r>
      <w:r>
        <w:t>Nenhuma Parte é obrigada a financiar a outra ou cobrir déficit não aprovado.</w:t>
      </w:r>
    </w:p>
    <w:p>
      <w:pPr>
        <w:pStyle w:val="Heading1"/>
        <w:keepNext/>
        <w:spacing w:before="120" w:after="40"/>
      </w:pPr>
      <w:r>
        <w:t>CLÁUSULA 5 - INTEGRAÇÃO, ROADMAP E DEPENDÊNCIAS</w:t>
      </w:r>
    </w:p>
    <w:p>
      <w:pPr>
        <w:keepLines w:val="0"/>
        <w:widowControl/>
        <w:jc w:val="both"/>
      </w:pPr>
      <w:r>
        <w:rPr>
          <w:b/>
        </w:rPr>
        <w:t xml:space="preserve">5.1. </w:t>
      </w:r>
      <w:r>
        <w:t>Cada Parte manterá interfaces, documentação, ambientes e responsáveis sob seu controle. Roadmap futuro somente será vinculante quando formalizado.</w:t>
      </w:r>
    </w:p>
    <w:p>
      <w:pPr>
        <w:keepLines w:val="0"/>
        <w:widowControl/>
        <w:jc w:val="both"/>
      </w:pPr>
      <w:r>
        <w:rPr>
          <w:b/>
        </w:rPr>
        <w:t xml:space="preserve">5.2. </w:t>
      </w:r>
      <w:r>
        <w:t>Mudança incompatível terá aviso e prazo de adaptação. Falha será diagnosticada conjuntamente antes de atribuição.</w:t>
      </w:r>
    </w:p>
    <w:p>
      <w:pPr>
        <w:keepLines w:val="0"/>
        <w:widowControl/>
        <w:jc w:val="both"/>
      </w:pPr>
      <w:r>
        <w:rPr>
          <w:b/>
        </w:rPr>
        <w:t xml:space="preserve">5.3. </w:t>
      </w:r>
      <w:r>
        <w:t>Cada Parte poderá suspender integração por risco de segurança, de forma proporcional e com plano de restauração.</w:t>
      </w:r>
    </w:p>
    <w:p>
      <w:pPr>
        <w:pStyle w:val="Heading1"/>
        <w:keepNext/>
        <w:spacing w:before="120" w:after="40"/>
      </w:pPr>
      <w:r>
        <w:t>CLÁUSULA 6 - CLIENTES, SUPORTE E RESPONSABILIDADE EM CADEIA</w:t>
      </w:r>
    </w:p>
    <w:p>
      <w:pPr>
        <w:keepLines w:val="0"/>
        <w:widowControl/>
        <w:jc w:val="both"/>
      </w:pPr>
      <w:r>
        <w:rPr>
          <w:b/>
        </w:rPr>
        <w:t xml:space="preserve">6.1. </w:t>
      </w:r>
      <w:r>
        <w:t>O Anexo I definirá quem contrata, fatura e presta cada nível de suporte. Nenhuma Parte prometerá SLA ou funcionalidade da outra sem aprovação.</w:t>
      </w:r>
    </w:p>
    <w:p>
      <w:pPr>
        <w:keepLines w:val="0"/>
        <w:widowControl/>
        <w:jc w:val="both"/>
      </w:pPr>
      <w:r>
        <w:rPr>
          <w:b/>
        </w:rPr>
        <w:t xml:space="preserve">6.2. </w:t>
      </w:r>
      <w:r>
        <w:t>Incidente será conduzido por um ponto focal, com compartilhamento de evidências e comunicação coordenada.</w:t>
      </w:r>
    </w:p>
    <w:p>
      <w:pPr>
        <w:keepLines w:val="0"/>
        <w:widowControl/>
        <w:jc w:val="both"/>
      </w:pPr>
      <w:r>
        <w:rPr>
          <w:b/>
        </w:rPr>
        <w:t xml:space="preserve">6.3. </w:t>
      </w:r>
      <w:r>
        <w:t>Cada Parte responderá pelo componente e informação sob seu controle, sem solidariedade automática.</w:t>
      </w:r>
    </w:p>
    <w:p>
      <w:pPr>
        <w:pStyle w:val="Heading1"/>
        <w:keepNext/>
        <w:spacing w:before="120" w:after="40"/>
      </w:pPr>
      <w:r>
        <w:t>CLÁUSULA 7 - CLIENTES, OPORTUNIDADES E REGRAS COMERCIAIS</w:t>
      </w:r>
    </w:p>
    <w:p>
      <w:pPr>
        <w:keepLines w:val="0"/>
        <w:widowControl/>
        <w:jc w:val="both"/>
      </w:pPr>
      <w:r>
        <w:rPr>
          <w:b/>
        </w:rPr>
        <w:t xml:space="preserve">7.1. </w:t>
      </w:r>
      <w:r>
        <w:t>O Anexo definirá quem contrata, fatura, entrega e atende. Nenhuma Parte prometerá condição da outra sem aprovação.</w:t>
      </w:r>
    </w:p>
    <w:p>
      <w:pPr>
        <w:keepLines w:val="0"/>
        <w:widowControl/>
        <w:jc w:val="both"/>
      </w:pPr>
      <w:r>
        <w:rPr>
          <w:b/>
        </w:rPr>
        <w:t xml:space="preserve">7.2. </w:t>
      </w:r>
      <w:r>
        <w:t>Leads e oportunidades protegidas serão registrados, com prazo e escopo. Cliente preexistente, contato público ou demanda espontânea não cria atribuição automática.</w:t>
      </w:r>
    </w:p>
    <w:p>
      <w:pPr>
        <w:keepLines w:val="0"/>
        <w:widowControl/>
        <w:jc w:val="both"/>
      </w:pPr>
      <w:r>
        <w:rPr>
          <w:b/>
        </w:rPr>
        <w:t xml:space="preserve">7.3. </w:t>
      </w:r>
      <w:r>
        <w:t>Preços de revenda serão definidos de forma independente, respeitadas regras concorrenciais.</w:t>
      </w:r>
    </w:p>
    <w:p>
      <w:pPr>
        <w:pStyle w:val="Heading1"/>
        <w:keepNext/>
        <w:spacing w:before="120" w:after="40"/>
      </w:pPr>
      <w:r>
        <w:t>CLÁUSULA 8 - REMUNERAÇÃO, RECEITA, REPASSE E AUDITORIA</w:t>
      </w:r>
    </w:p>
    <w:p>
      <w:pPr>
        <w:keepLines w:val="0"/>
        <w:widowControl/>
        <w:jc w:val="both"/>
      </w:pPr>
      <w:r>
        <w:rPr>
          <w:b/>
        </w:rPr>
        <w:t xml:space="preserve">8.1. </w:t>
      </w:r>
      <w:r>
        <w:t>Comissão, split ou rateio incidirá sobre base objetiva, com deduções expressamente listadas. Não haverá dedução unilateral criada posteriormente.</w:t>
      </w:r>
    </w:p>
    <w:p>
      <w:pPr>
        <w:keepLines w:val="0"/>
        <w:widowControl/>
        <w:jc w:val="both"/>
      </w:pPr>
      <w:r>
        <w:rPr>
          <w:b/>
        </w:rPr>
        <w:t xml:space="preserve">8.2. </w:t>
      </w:r>
      <w:r>
        <w:t>Relatórios permitirão conciliação e valores incontroversos serão pagos no prazo. Reserva, chargeback ou estorno terão transação, causa, teto e duração.</w:t>
      </w:r>
    </w:p>
    <w:p>
      <w:pPr>
        <w:keepLines w:val="0"/>
        <w:widowControl/>
        <w:jc w:val="both"/>
      </w:pPr>
      <w:r>
        <w:rPr>
          <w:b/>
        </w:rPr>
        <w:t xml:space="preserve">8.3. </w:t>
      </w:r>
      <w:r>
        <w:t>Auditoria por amostragem será permitida com aviso, sigilo e custo do solicitante, salvo diferença material.</w:t>
      </w:r>
    </w:p>
    <w:p>
      <w:pPr>
        <w:pStyle w:val="Heading1"/>
        <w:keepNext/>
        <w:spacing w:before="120" w:after="40"/>
      </w:pPr>
      <w:r>
        <w:t>CLÁUSULA 9 - MARCAS, CONTEÚDO E PROPRIEDADE INTELECTUAL</w:t>
      </w:r>
    </w:p>
    <w:p>
      <w:pPr>
        <w:keepLines w:val="0"/>
        <w:widowControl/>
        <w:jc w:val="both"/>
      </w:pPr>
      <w:r>
        <w:rPr>
          <w:b/>
        </w:rPr>
        <w:t xml:space="preserve">9.1. </w:t>
      </w:r>
      <w:r>
        <w:t>Cada Parte conserva suas marcas, métodos, tecnologia, materiais e ativos preexistentes. O uso recíproco será limitado ao plano e guia de marca.</w:t>
      </w:r>
    </w:p>
    <w:p>
      <w:pPr>
        <w:keepLines w:val="0"/>
        <w:widowControl/>
        <w:jc w:val="both"/>
      </w:pPr>
      <w:r>
        <w:rPr>
          <w:b/>
        </w:rPr>
        <w:t xml:space="preserve">9.2. </w:t>
      </w:r>
      <w:r>
        <w:t>Materiais conjuntos terão titularidade e licença definidas por item. Nenhuma comunicação sugerirá sociedade, endosso amplo ou garantia inexistente.</w:t>
      </w:r>
    </w:p>
    <w:p>
      <w:pPr>
        <w:keepLines w:val="0"/>
        <w:widowControl/>
        <w:jc w:val="both"/>
      </w:pPr>
      <w:r>
        <w:rPr>
          <w:b/>
        </w:rPr>
        <w:t xml:space="preserve">9.3. </w:t>
      </w:r>
      <w:r>
        <w:t>Uso após término dependerá de autorização, ressalvado escoamento e arquivo legal.</w:t>
      </w:r>
    </w:p>
    <w:p>
      <w:pPr>
        <w:pStyle w:val="Heading1"/>
        <w:keepNext/>
        <w:spacing w:before="120" w:after="40"/>
      </w:pPr>
      <w:r>
        <w:t>CLÁUSULA 10 - CONFIDENCIALIDADE, DADOS E SEGURANÇA</w:t>
      </w:r>
    </w:p>
    <w:p>
      <w:pPr>
        <w:keepLines w:val="0"/>
        <w:widowControl/>
        <w:jc w:val="both"/>
      </w:pPr>
      <w:r>
        <w:rPr>
          <w:b/>
        </w:rPr>
        <w:t xml:space="preserve">10.1. </w:t>
      </w:r>
      <w:r>
        <w:t>Informações não públicas serão protegidas por 5 anos, com exceções usuais. Dados de clientes, preços e estratégia terão acesso restrito.</w:t>
      </w:r>
    </w:p>
    <w:p>
      <w:pPr>
        <w:keepLines w:val="0"/>
        <w:widowControl/>
        <w:jc w:val="both"/>
      </w:pPr>
      <w:r>
        <w:rPr>
          <w:b/>
        </w:rPr>
        <w:t xml:space="preserve">10.2. </w:t>
      </w:r>
      <w:r>
        <w:t>Papéis de dados serão definidos conforme decisões efetivas. Compartilhamento de leads dependerá de finalidade, base e transparência.</w:t>
      </w:r>
    </w:p>
    <w:p>
      <w:pPr>
        <w:keepLines w:val="0"/>
        <w:widowControl/>
        <w:jc w:val="both"/>
      </w:pPr>
      <w:r>
        <w:rPr>
          <w:b/>
        </w:rPr>
        <w:t xml:space="preserve">10.3. </w:t>
      </w:r>
      <w:r>
        <w:t>Incidentes serão comunicados e coordenados conforme causa e obrigação de cada Parte.</w:t>
      </w:r>
    </w:p>
    <w:p>
      <w:pPr>
        <w:pStyle w:val="Heading1"/>
        <w:keepNext/>
        <w:spacing w:before="120" w:after="40"/>
      </w:pPr>
      <w:r>
        <w:t>CLÁUSULA 11 - COMPLIANCE, CONCORRÊNCIA E CONFLITOS</w:t>
      </w:r>
    </w:p>
    <w:p>
      <w:pPr>
        <w:keepLines w:val="0"/>
        <w:widowControl/>
        <w:jc w:val="both"/>
      </w:pPr>
      <w:r>
        <w:rPr>
          <w:b/>
        </w:rPr>
        <w:t xml:space="preserve">11.1. </w:t>
      </w:r>
      <w:r>
        <w:t>As Partes observarão legislação anticorrupção, concorrencial, sanções, consumo e normas setoriais aplicáveis.</w:t>
      </w:r>
    </w:p>
    <w:p>
      <w:pPr>
        <w:keepLines w:val="0"/>
        <w:widowControl/>
        <w:jc w:val="both"/>
      </w:pPr>
      <w:r>
        <w:rPr>
          <w:b/>
        </w:rPr>
        <w:t xml:space="preserve">11.2. </w:t>
      </w:r>
      <w:r>
        <w:t>Não haverá coordenação de preços, divisão ilícita de mercado, troca excessiva de informação sensível ou venda casada fora do escopo legítimo.</w:t>
      </w:r>
    </w:p>
    <w:p>
      <w:pPr>
        <w:keepLines w:val="0"/>
        <w:widowControl/>
        <w:jc w:val="both"/>
      </w:pPr>
      <w:r>
        <w:rPr>
          <w:b/>
        </w:rPr>
        <w:t xml:space="preserve">11.3. </w:t>
      </w:r>
      <w:r>
        <w:t>Conflitos de interesse e benefício econômico relevante serão informados e mitigados.</w:t>
      </w:r>
    </w:p>
    <w:p>
      <w:pPr>
        <w:pStyle w:val="Heading1"/>
        <w:keepNext/>
        <w:spacing w:before="120" w:after="40"/>
      </w:pPr>
      <w:r>
        <w:t>CLÁUSULA 12 - PESSOAL, SUBCONTRATAÇÃO E AUTONOMIA</w:t>
      </w:r>
    </w:p>
    <w:p>
      <w:pPr>
        <w:keepLines w:val="0"/>
        <w:widowControl/>
        <w:jc w:val="both"/>
      </w:pPr>
      <w:r>
        <w:rPr>
          <w:b/>
        </w:rPr>
        <w:t xml:space="preserve">12.1. </w:t>
      </w:r>
      <w:r>
        <w:t>Cada Parte dirigirá sua equipe e responderá por obrigações trabalhistas e fiscais. A cooperação será focada em resultados, não em subordinação pessoal.</w:t>
      </w:r>
    </w:p>
    <w:p>
      <w:pPr>
        <w:keepLines w:val="0"/>
        <w:widowControl/>
        <w:jc w:val="both"/>
      </w:pPr>
      <w:r>
        <w:rPr>
          <w:b/>
        </w:rPr>
        <w:t xml:space="preserve">12.2. </w:t>
      </w:r>
      <w:r>
        <w:t>Subcontratação crítica ou com dados dependerá de comunicação e obrigações equivalentes.</w:t>
      </w:r>
    </w:p>
    <w:p>
      <w:pPr>
        <w:keepLines w:val="0"/>
        <w:widowControl/>
        <w:jc w:val="both"/>
      </w:pPr>
      <w:r>
        <w:rPr>
          <w:b/>
        </w:rPr>
        <w:t xml:space="preserve">12.3. </w:t>
      </w:r>
      <w:r>
        <w:t>Nenhuma Parte está obrigada a contratar ou absorver empregados da outra no término.</w:t>
      </w:r>
    </w:p>
    <w:p>
      <w:pPr>
        <w:pStyle w:val="Heading1"/>
        <w:keepNext/>
        <w:spacing w:before="120" w:after="40"/>
      </w:pPr>
      <w:r>
        <w:t>CLÁUSULA 13 - DECLARAÇÕES E RESPONSABILIDADE</w:t>
      </w:r>
    </w:p>
    <w:p>
      <w:pPr>
        <w:keepLines w:val="0"/>
        <w:widowControl/>
        <w:jc w:val="both"/>
      </w:pPr>
      <w:r>
        <w:rPr>
          <w:b/>
        </w:rPr>
        <w:t xml:space="preserve">13.1. </w:t>
      </w:r>
      <w:r>
        <w:t>Cada Parte declara poderes, licenças e legitimidade dos materiais e informações que fornecer.</w:t>
      </w:r>
    </w:p>
    <w:p>
      <w:pPr>
        <w:keepLines w:val="0"/>
        <w:widowControl/>
        <w:jc w:val="both"/>
      </w:pPr>
      <w:r>
        <w:rPr>
          <w:b/>
        </w:rPr>
        <w:t xml:space="preserve">13.2. </w:t>
      </w:r>
      <w:r>
        <w:t>Cada Parte responderá por danos diretos comprovados sob seu controle; o cap será {{CAP_DE_RESPONSABILIDADE}}, com exceções negociadas e legais.</w:t>
      </w:r>
    </w:p>
    <w:p>
      <w:pPr>
        <w:keepLines w:val="0"/>
        <w:widowControl/>
        <w:jc w:val="both"/>
      </w:pPr>
      <w:r>
        <w:rPr>
          <w:b/>
        </w:rPr>
        <w:t xml:space="preserve">13.3. </w:t>
      </w:r>
      <w:r>
        <w:t>Reclamações de terceiro terão notificação, defesa coordenada e acordo aprovado. Não haverá solidariedade interna automática.</w:t>
      </w:r>
    </w:p>
    <w:p>
      <w:pPr>
        <w:pStyle w:val="Heading1"/>
        <w:keepNext/>
        <w:spacing w:before="120" w:after="40"/>
      </w:pPr>
      <w:r>
        <w:t>CLÁUSULA 14 - VIGÊNCIA, RESCISÃO E TRANSIÇÃO</w:t>
      </w:r>
    </w:p>
    <w:p>
      <w:pPr>
        <w:keepLines w:val="0"/>
        <w:widowControl/>
        <w:jc w:val="both"/>
      </w:pPr>
      <w:r>
        <w:rPr>
          <w:b/>
        </w:rPr>
        <w:t xml:space="preserve">14.1. </w:t>
      </w:r>
      <w:r>
        <w:t>Prazo, renovação e aviso constam do quadro-resumo. Inadimplemento material terá cura, salvo fraude, ilicitude, violação grave ou risco urgente.</w:t>
      </w:r>
    </w:p>
    <w:p>
      <w:pPr>
        <w:keepLines w:val="0"/>
        <w:widowControl/>
        <w:jc w:val="both"/>
      </w:pPr>
      <w:r>
        <w:rPr>
          <w:b/>
        </w:rPr>
        <w:t xml:space="preserve">14.2. </w:t>
      </w:r>
      <w:r>
        <w:t>No término, as Partes tratarão oportunidades em curso, comissões, estoques, campanhas, dados e materiais segundo o Anexo II.</w:t>
      </w:r>
    </w:p>
    <w:p>
      <w:pPr>
        <w:keepLines w:val="0"/>
        <w:widowControl/>
        <w:jc w:val="both"/>
      </w:pPr>
      <w:r>
        <w:rPr>
          <w:b/>
        </w:rPr>
        <w:t xml:space="preserve">14.3. </w:t>
      </w:r>
      <w:r>
        <w:t>Exclusividade, não circunvenção ou não concorrência somente sobreviverão se expressas, limitadas e proporcionais.</w:t>
      </w:r>
    </w:p>
    <w:p>
      <w:pPr>
        <w:pStyle w:val="Heading1"/>
        <w:keepNext/>
        <w:spacing w:before="120" w:after="40"/>
      </w:pPr>
      <w:r>
        <w:t>CLÁUSULA 15 - DISPOSIÇÕES GERAIS</w:t>
      </w:r>
    </w:p>
    <w:p>
      <w:pPr>
        <w:keepLines w:val="0"/>
        <w:widowControl/>
        <w:jc w:val="both"/>
      </w:pPr>
      <w:r>
        <w:rPr>
          <w:b/>
        </w:rPr>
        <w:t xml:space="preserve">15.1. </w:t>
      </w:r>
      <w:r>
        <w:t>Alterações exigem instrumento escrito; tolerância não implica renúncia; invalidade parcial não afeta o restante.</w:t>
      </w:r>
    </w:p>
    <w:p>
      <w:pPr>
        <w:keepLines w:val="0"/>
        <w:widowControl/>
        <w:jc w:val="both"/>
      </w:pPr>
      <w:r>
        <w:rPr>
          <w:b/>
        </w:rPr>
        <w:t xml:space="preserve">15.2. </w:t>
      </w:r>
      <w:r>
        <w:t>A cessão dependerá de anuência razoável, ressalvada reorganização sem prejuízo de capacidade.</w:t>
      </w:r>
    </w:p>
    <w:p>
      <w:pPr>
        <w:keepLines w:val="0"/>
        <w:widowControl/>
        <w:jc w:val="both"/>
      </w:pPr>
      <w:r>
        <w:rPr>
          <w:b/>
        </w:rPr>
        <w:t xml:space="preserve">15.3. </w:t>
      </w:r>
      <w:r>
        <w:t>Comunicações e registros eletrônicos serão aceitos conforme autenticidade e contexto.</w:t>
      </w:r>
    </w:p>
    <w:p>
      <w:pPr>
        <w:pStyle w:val="Heading1"/>
        <w:keepNext/>
        <w:spacing w:before="120" w:after="40"/>
      </w:pPr>
      <w:r>
        <w:t>CLÁUSULA 16 - LEI APLICÁVEL E FORO</w:t>
      </w:r>
    </w:p>
    <w:p>
      <w:pPr>
        <w:keepLines w:val="0"/>
        <w:widowControl/>
        <w:jc w:val="both"/>
      </w:pPr>
      <w:r>
        <w:rPr>
          <w:b/>
        </w:rPr>
        <w:t xml:space="preserve">16.1. </w:t>
      </w:r>
      <w:r>
        <w:t>O Contrato será regido pelas leis da República Federativa do Brasil, especialmente pelas normas civis, empresariais e especiais aplicáveis ao objeto.</w:t>
      </w:r>
    </w:p>
    <w:p>
      <w:pPr>
        <w:keepLines w:val="0"/>
        <w:widowControl/>
        <w:jc w:val="both"/>
      </w:pPr>
      <w:r>
        <w:rPr>
          <w:b/>
        </w:rPr>
        <w:t xml:space="preserve">16.2. </w:t>
      </w:r>
      <w:r>
        <w:t>As Partes buscarão solução negocial por, no mínimo, 15 dias contados da notificação detalhada da controvérsia, salvo urgência ou risco de prescrição.</w:t>
      </w:r>
    </w:p>
    <w:p>
      <w:pPr>
        <w:keepLines w:val="0"/>
        <w:widowControl/>
        <w:jc w:val="both"/>
      </w:pPr>
      <w:r>
        <w:rPr>
          <w:b/>
        </w:rPr>
        <w:t xml:space="preserve">16.3. </w:t>
      </w:r>
      <w:r>
        <w:t>Fica eleito o foro da Comarca de {{FORO}}, por guardar relação com as Partes ou a execução, com renúncia a outro apenas quando juridicamente admissível.</w:t>
      </w:r>
    </w:p>
    <w:p>
      <w:pPr>
        <w:pStyle w:val="Heading1"/>
        <w:keepNext/>
        <w:spacing w:before="120" w:after="40"/>
      </w:pPr>
      <w:r>
        <w:t>CLÁUSULA 17 - ASSINATURA ELETRÔNICA E FORMALIZAÇÃO</w:t>
      </w:r>
    </w:p>
    <w:p>
      <w:pPr>
        <w:keepLines w:val="0"/>
        <w:widowControl/>
        <w:jc w:val="both"/>
      </w:pPr>
      <w:r>
        <w:rPr>
          <w:b/>
        </w:rPr>
        <w:t xml:space="preserve">17.1. </w:t>
      </w:r>
      <w:r>
        <w:t>As Partes reconhecem a validade de assinaturas eletrônicas capazes de comprovar autoria, integridade e manifestação de vontade, inclusive por plataforma aceita pelas Partes, nos termos da Medida Provisória nº 2.200-2/2001 e legislação aplicável.</w:t>
      </w:r>
    </w:p>
    <w:p>
      <w:pPr>
        <w:keepLines w:val="0"/>
        <w:widowControl/>
        <w:jc w:val="both"/>
      </w:pPr>
      <w:r>
        <w:rPr>
          <w:b/>
        </w:rPr>
        <w:t xml:space="preserve">17.2. </w:t>
      </w:r>
      <w:r>
        <w:t>O instrumento poderá ser assinado em vias eletrônicas separadas, consideradas conjunto único. Os signatários declaram possuir poderes e ciência integral do conteúdo.</w:t>
      </w:r>
    </w:p>
    <w:p>
      <w:pPr>
        <w:keepLines w:val="0"/>
        <w:widowControl/>
        <w:jc w:val="both"/>
      </w:pPr>
      <w:r>
        <w:rPr>
          <w:b/>
        </w:rPr>
        <w:t xml:space="preserve">17.3. </w:t>
      </w:r>
      <w:r>
        <w:t>A validade do negócio não depende de testemunhas, salvo exigência legal específica. Para reforçar a executividade como título extrajudicial, as Partes poderão colher assinatura de 2 testemunhas ou adotar mecanismo juridicamente suficiente à natureza da obrigação.</w:t>
      </w:r>
    </w:p>
    <w:p>
      <w:pPr>
        <w:jc w:val="center"/>
      </w:pPr>
      <w:r>
        <w:rPr>
          <w:b/>
        </w:rPr>
        <w:t>E, por estarem de acordo, as Partes assinam o presente instrumento em {{LOCAL_ASSINATURA}}, {{DATA_ASSINATURA}}.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{{PARTE_A_RAZAO_SOCIAL}}</w:t>
              <w:br/>
              <w:t>PARCEIRA TECNOLÓGICA 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{{PARTE_B_RAZAO_SOCIAL}}</w:t>
              <w:br/>
              <w:t>PARCEIRA TECNOLÓGICA B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1</w:t>
              <w:br/>
              <w:t>Nome: {{TESTEMUNHA_1_NOME}}</w:t>
              <w:br/>
              <w:t>CPF: {{TESTEMUNHA_1_CPF}}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2</w:t>
              <w:br/>
              <w:t>Nome: {{TESTEMUNHA_2_NOME}}</w:t>
              <w:br/>
              <w:t>CPF: {{TESTEMUNHA_2_CPF}}</w:t>
            </w:r>
          </w:p>
        </w:tc>
      </w:tr>
    </w:tbl>
    <w:p>
      <w:r>
        <w:br w:type="page"/>
      </w:r>
    </w:p>
    <w:p>
      <w:pPr>
        <w:pStyle w:val="Heading1"/>
        <w:keepNext/>
        <w:pageBreakBefore w:val="0"/>
        <w:jc w:val="center"/>
      </w:pPr>
      <w:r>
        <w:t>ANEXO I - PLANO OPERACIONAL, ESCOPO E GOVERNANÇA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34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Definição</w:t>
            </w:r>
          </w:p>
        </w:tc>
        <w:tc>
          <w:tcPr>
            <w:tcW w:type="dxa" w:w="34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Responsável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Oferta/projeto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{{OFERTA}}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Ambas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Território/canais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{{TERRITORIO_CANAIS}}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Ambas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Contribuição Parte A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{{CONTRIBUICAO_A}}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Parte A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Contribuição Parte B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{{CONTRIBUICAO_B}}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Parte B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Metas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{{METAS}}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{{RESPONSAVEL}}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Comitê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{{MEMBROS_COMITE}}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Ambas</w:t>
            </w:r>
          </w:p>
        </w:tc>
      </w:tr>
    </w:tbl>
    <w:p>
      <w:pPr>
        <w:pStyle w:val="Heading1"/>
        <w:keepNext/>
        <w:pageBreakBefore w:val="0"/>
        <w:jc w:val="center"/>
      </w:pPr>
      <w:r>
        <w:t>ANEXO II - REGRAS COMERCIAIS, RECEITA E TRANSIÇÃO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Condição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Lead válido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{{CRITERIO_LEAD}}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Proteção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{{PRAZO_PROTECAO}}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Receita elegível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{{BASE_RECEITA}}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Deduções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{{DEDUCOES}}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Percentual/comissão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{{PERCENTUAL}}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Repasse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{{PRAZO_REPASSE}}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Reserva/chargeback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{{REGRA_RESERVA}}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Pós-término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{{REGRA_POS_TERMINO}}</w:t>
            </w:r>
          </w:p>
        </w:tc>
      </w:tr>
    </w:tbl>
    <w:p>
      <w:pPr>
        <w:pStyle w:val="Heading1"/>
        <w:keepNext/>
        <w:pageBreakBefore w:val="0"/>
        <w:jc w:val="center"/>
      </w:pPr>
      <w:r>
        <w:t>ANEXO III - MARCAS, DADOS E COMPLIANCE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Regra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Uso de marca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{{REGRA_MARCA}}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Materiais conjuntos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{{TITULARIDADE_MATERIAIS}}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Papéis LGPD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{{PAPEIS_LGPD}}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Compartilhamento de leads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{{REGRA_DADOS}}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Incidentes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{{PRAZO_INCIDENTE}}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Concorrência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{{CONTROLES_CONCORRENCIA}}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Conflitos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{{REGRA_CONFLITOS}}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5" w:right="1020" w:bottom="879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654"/>
      <w:gridCol w:w="1871"/>
    </w:tblGrid>
    <w:tr>
      <w:tc>
        <w:tcPr>
          <w:tcW w:type="dxa" w:w="4762"/>
        </w:tcPr>
        <w:p>
          <w:pPr>
            <w:spacing w:after="0"/>
          </w:pPr>
          <w:r/>
          <w:r>
            <w:rPr>
              <w:rFonts w:ascii="Liberation Sans" w:hAnsi="Liberation Sans"/>
              <w:b w:val="0"/>
              <w:color w:val="64748B"/>
              <w:sz w:val="14"/>
            </w:rPr>
            <w:t>Modelo jurídico-base. Substitua os campos {{...}} e valide as condições específicas da operação.</w:t>
          </w:r>
        </w:p>
      </w:tc>
      <w:tc>
        <w:tcPr>
          <w:tcW w:type="dxa" w:w="4762"/>
        </w:tcPr>
        <w:p>
          <w:pPr>
            <w:jc w:val="right"/>
          </w:pPr>
          <w:r>
            <w:rPr>
              <w:color w:val="64748B"/>
              <w:sz w:val="14"/>
            </w:rPr>
            <w:t xml:space="preserve">Página </w:t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Liberation Sans" w:hAnsi="Liberation Sans"/>
        <w:color w:val="64748B"/>
        <w:sz w:val="15"/>
      </w:rPr>
      <w:t>PONDERUM | PC-05 | MODELO PARAMETRIZÁVEL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Liberation Sans" w:hAnsi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0203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E7C7B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0203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b/>
      <w:i/>
      <w:iCs/>
      <w:color w:val="4B5563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Parceria Estratégica de Produto e Integração</dc:title>
  <dc:subject>Roadmap conjunto, APIs, suporte, IP, clientes e continuidade</dc:subject>
  <dc:creator>Ponderum - Biblioteca de Modelos Contratuais</dc:creator>
  <cp:keywords>PC-05; Parceria Comercial; contrato; modelo; Ponderum</cp:keywords>
  <dc:description>Revisão-base em 25 de julho de 2026. Modelo parametrizável.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