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SERVIÇOS RECORRENTES COM SLA E GESTÃO DE MUDANÇAS</w:t>
      </w:r>
    </w:p>
    <w:p>
      <w:pPr>
        <w:pStyle w:val="Subtitle"/>
        <w:spacing w:after="160"/>
        <w:jc w:val="center"/>
      </w:pPr>
      <w:r>
        <w:t>Operação contínua com indicadores, créditos, governança e transição</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PS-02</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CONTRATANTE e PRESTADORA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"CONTRATANTE"; e</w:t>
      </w:r>
    </w:p>
    <w:p>
      <w:pPr>
        <w:jc w:val="both"/>
      </w:pPr>
      <w:r>
        <w:t>{{PARTE_B_RAZAO_SOCIAL}}, pessoa jurídica de direito privado, inscrita no CNPJ sob nº {{PARTE_B_CNPJ}}, com sede em {{PARTE_B_ENDERECO}}, neste ato representada na forma de seus atos constitutivos, doravante denominada "PRESTADORA";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CONTRATANTE e a PRESTADORA possuem capacidade técnica, econômica e jurídica para assumir as obrigações previstas;</w:t>
      </w:r>
    </w:p>
    <w:p>
      <w:pPr>
        <w:ind w:left="283" w:hanging="170"/>
      </w:pPr>
      <w:r>
        <w:rPr>
          <w:b/>
        </w:rPr>
        <w:t xml:space="preserve">• </w:t>
      </w:r>
      <w:r>
        <w:t>que as Partes desejam disciplinar serviços recorrentes sujeitos a níveis de serviço e gestão contínua,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PRESTADORA executará os serviços recorrentes descritos no Anexo I, mantendo capacidade operacional, indicadores, suporte, relatórios e gestão de continuidade durante a vigência.</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CONTRATANTE</w:t>
      </w:r>
    </w:p>
    <w:p>
      <w:pPr>
        <w:keepLines w:val="0"/>
        <w:widowControl/>
        <w:jc w:val="both"/>
      </w:pPr>
      <w:r>
        <w:rPr>
          <w:b/>
        </w:rPr>
        <w:t xml:space="preserve">4.1. </w:t>
      </w:r>
      <w:r>
        <w:t>A CONTRATANTE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CONTRATANTE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CONTRATANTE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PRESTADORA</w:t>
      </w:r>
    </w:p>
    <w:p>
      <w:pPr>
        <w:keepLines w:val="0"/>
        <w:widowControl/>
        <w:jc w:val="both"/>
      </w:pPr>
      <w:r>
        <w:rPr>
          <w:b/>
        </w:rPr>
        <w:t xml:space="preserve">5.1. </w:t>
      </w:r>
      <w:r>
        <w:t>A PRESTADORA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PRESTADORA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PRESTADORA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NÍVEIS DE SERVIÇO, CRÉDITOS E ESCALONAMENTO</w:t>
      </w:r>
    </w:p>
    <w:p>
      <w:pPr>
        <w:keepLines w:val="0"/>
        <w:widowControl/>
        <w:jc w:val="both"/>
      </w:pPr>
      <w:r>
        <w:rPr>
          <w:b/>
        </w:rPr>
        <w:t xml:space="preserve">8.1. </w:t>
      </w:r>
      <w:r>
        <w:t>Os níveis de serviço constarão do Anexo III e serão medidos por fonte auditável. Janelas de manutenção, atos da Parte recebedora, indisponibilidade de terceiro indicado por ela e força maior serão excluídos apenas na proporção comprovada.</w:t>
      </w:r>
    </w:p>
    <w:p>
      <w:pPr>
        <w:keepLines w:val="0"/>
        <w:widowControl/>
        <w:jc w:val="both"/>
      </w:pPr>
      <w:r>
        <w:rPr>
          <w:b/>
        </w:rPr>
        <w:t xml:space="preserve">8.2. </w:t>
      </w:r>
      <w:r>
        <w:t>Créditos de serviço incidirão sobre a parcela afetada, com teto mensal, e não constituirão remédio exclusivo para dolo, violação de confidencialidade, dados, propriedade intelectual ou descumprimento reiterado que autorize rescisão.</w:t>
      </w:r>
    </w:p>
    <w:p>
      <w:pPr>
        <w:keepLines w:val="0"/>
        <w:widowControl/>
        <w:jc w:val="both"/>
      </w:pPr>
      <w:r>
        <w:rPr>
          <w:b/>
        </w:rPr>
        <w:t xml:space="preserve">8.3. </w:t>
      </w:r>
      <w:r>
        <w:t>Falhas críticas seguirão matriz de escalonamento, comunicação de causa raiz e plano de prevenção de recorrência.</w:t>
      </w:r>
    </w:p>
    <w:p>
      <w:pPr>
        <w:pStyle w:val="Heading1"/>
        <w:keepNext/>
        <w:spacing w:before="120" w:after="40"/>
      </w:pPr>
      <w:r>
        <w:t>CLÁUSULA 9 - CAPACIDADE, VOLUME E SASONALIDADE</w:t>
      </w:r>
    </w:p>
    <w:p>
      <w:pPr>
        <w:keepLines w:val="0"/>
        <w:widowControl/>
        <w:jc w:val="both"/>
      </w:pPr>
      <w:r>
        <w:rPr>
          <w:b/>
        </w:rPr>
        <w:t xml:space="preserve">9.1. </w:t>
      </w:r>
      <w:r>
        <w:t>Os volumes-base e bandas de variação constam do Anexo I. Aumento superior à banda dependerá de plano de capacidade e ajuste de preço previamente aprovado.</w:t>
      </w:r>
    </w:p>
    <w:p>
      <w:pPr>
        <w:keepLines w:val="0"/>
        <w:widowControl/>
        <w:jc w:val="both"/>
      </w:pPr>
      <w:r>
        <w:rPr>
          <w:b/>
        </w:rPr>
        <w:t xml:space="preserve">9.2. </w:t>
      </w:r>
      <w:r>
        <w:t>A PRESTADORA não poderá reduzir equipe ou capacidade crítica de forma incompatível com os indicadores; a CONTRATANTE não poderá exigir picos não previstos sem ajuste de recursos.</w:t>
      </w:r>
    </w:p>
    <w:p>
      <w:pPr>
        <w:keepLines w:val="0"/>
        <w:widowControl/>
        <w:jc w:val="both"/>
      </w:pPr>
      <w:r>
        <w:rPr>
          <w:b/>
        </w:rPr>
        <w:t xml:space="preserve">9.3. </w:t>
      </w:r>
      <w:r>
        <w:t>Planos de melhoria poderão ser exigidos após reincidência, com metas, responsáveis e prazo objetivo, sem impor obrigação de resultado fora do controle razoável.</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CONTRATANTE</w:t>
            </w:r>
          </w:p>
        </w:tc>
        <w:tc>
          <w:tcPr>
            <w:tcW w:type="dxa" w:w="5100"/>
          </w:tcPr>
          <w:p>
            <w:pPr>
              <w:spacing w:after="0"/>
            </w:pPr>
            <w:r/>
            <w:r>
              <w:rPr>
                <w:rFonts w:ascii="Liberation Sans" w:hAnsi="Liberation Sans"/>
                <w:b/>
                <w:color w:val="102033"/>
                <w:sz w:val="17"/>
              </w:rPr>
              <w:t>{{PARTE_B_RAZAO_SOCIAL}}</w:t>
              <w:br/>
              <w:t>PRESTADORA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PS-02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Serviços Recorrentes com SLA e Gestão de Mudanças</dc:title>
  <dc:subject>Operação contínua com indicadores, créditos, governança e transição</dc:subject>
  <dc:creator>Ponderum - Biblioteca de Modelos Contratuais</dc:creator>
  <cp:keywords>PS-02;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