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CONTRATO DE DESENVOLVIMENTO DE SOFTWARE SOB ENCOMENDA</w:t>
      </w:r>
    </w:p>
    <w:p>
      <w:pPr>
        <w:pStyle w:val="Subtitle"/>
        <w:spacing w:after="160"/>
        <w:jc w:val="center"/>
      </w:pPr>
      <w:r>
        <w:t>Escopo, código, aceite, open source, segurança e transferência de conhecimento</w:t>
      </w:r>
    </w:p>
    <w:tbl>
      <w:tblPr>
        <w:tblW w:type="auto" w:w="0"/>
        <w:jc w:val="center"/>
        <w:tblLayout w:type="fixed"/>
        <w:tblLook w:firstColumn="1" w:firstRow="1" w:lastColumn="0" w:lastRow="0" w:noHBand="0" w:noVBand="1" w:val="04A0"/>
      </w:tblPr>
      <w:tblGrid>
        <w:gridCol w:w="5100"/>
        <w:gridCol w:w="5100"/>
      </w:tblGrid>
      <w:tr>
        <w:tc>
          <w:tcPr>
            <w:tcW w:type="dxa" w:w="2551"/>
            <w:vAlign w:val="center"/>
            <w:shd w:fill="EAF1F8"/>
          </w:tcPr>
          <w:p>
            <w:pPr>
              <w:spacing w:after="0"/>
            </w:pPr>
            <w:r/>
            <w:r>
              <w:rPr>
                <w:rFonts w:ascii="Liberation Sans" w:hAnsi="Liberation Sans"/>
                <w:b/>
                <w:color w:val="102033"/>
                <w:sz w:val="17"/>
              </w:rPr>
              <w:t>Identificador do modelo</w:t>
            </w:r>
          </w:p>
        </w:tc>
        <w:tc>
          <w:tcPr>
            <w:tcW w:type="dxa" w:w="6803"/>
            <w:vAlign w:val="center"/>
          </w:tcPr>
          <w:p>
            <w:pPr>
              <w:spacing w:after="0"/>
            </w:pPr>
            <w:r/>
            <w:r>
              <w:rPr>
                <w:rFonts w:ascii="Liberation Sans" w:hAnsi="Liberation Sans"/>
                <w:b w:val="0"/>
                <w:color w:val="374151"/>
                <w:sz w:val="17"/>
              </w:rPr>
              <w:t>PS-04</w:t>
            </w:r>
          </w:p>
        </w:tc>
      </w:tr>
      <w:tr>
        <w:tc>
          <w:tcPr>
            <w:tcW w:type="dxa" w:w="2551"/>
            <w:vAlign w:val="center"/>
            <w:shd w:fill="EAF1F8"/>
          </w:tcPr>
          <w:p>
            <w:pPr>
              <w:spacing w:after="0"/>
            </w:pPr>
            <w:r/>
            <w:r>
              <w:rPr>
                <w:rFonts w:ascii="Liberation Sans" w:hAnsi="Liberation Sans"/>
                <w:b/>
                <w:color w:val="102033"/>
                <w:sz w:val="17"/>
              </w:rPr>
              <w:t>Categoria</w:t>
            </w:r>
          </w:p>
        </w:tc>
        <w:tc>
          <w:tcPr>
            <w:tcW w:type="dxa" w:w="6803"/>
            <w:vAlign w:val="center"/>
          </w:tcPr>
          <w:p>
            <w:pPr>
              <w:spacing w:after="0"/>
            </w:pPr>
            <w:r/>
            <w:r>
              <w:rPr>
                <w:rFonts w:ascii="Liberation Sans" w:hAnsi="Liberation Sans"/>
                <w:b w:val="0"/>
                <w:color w:val="374151"/>
                <w:sz w:val="17"/>
              </w:rPr>
              <w:t>Prestação de Serviços</w:t>
            </w:r>
          </w:p>
        </w:tc>
      </w:tr>
      <w:tr>
        <w:tc>
          <w:tcPr>
            <w:tcW w:type="dxa" w:w="2551"/>
            <w:vAlign w:val="center"/>
            <w:shd w:fill="EAF1F8"/>
          </w:tcPr>
          <w:p>
            <w:pPr>
              <w:spacing w:after="0"/>
            </w:pPr>
            <w:r/>
            <w:r>
              <w:rPr>
                <w:rFonts w:ascii="Liberation Sans" w:hAnsi="Liberation Sans"/>
                <w:b/>
                <w:color w:val="102033"/>
                <w:sz w:val="17"/>
              </w:rPr>
              <w:t>Partes</w:t>
            </w:r>
          </w:p>
        </w:tc>
        <w:tc>
          <w:tcPr>
            <w:tcW w:type="dxa" w:w="6803"/>
            <w:vAlign w:val="center"/>
          </w:tcPr>
          <w:p>
            <w:pPr>
              <w:spacing w:after="0"/>
            </w:pPr>
            <w:r/>
            <w:r>
              <w:rPr>
                <w:rFonts w:ascii="Liberation Sans" w:hAnsi="Liberation Sans"/>
                <w:b w:val="0"/>
                <w:color w:val="374151"/>
                <w:sz w:val="17"/>
              </w:rPr>
              <w:t>CLIENTE e DESENVOLVEDORA</w:t>
            </w:r>
          </w:p>
        </w:tc>
      </w:tr>
      <w:tr>
        <w:tc>
          <w:tcPr>
            <w:tcW w:type="dxa" w:w="2551"/>
            <w:vAlign w:val="center"/>
            <w:shd w:fill="EAF1F8"/>
          </w:tcPr>
          <w:p>
            <w:pPr>
              <w:spacing w:after="0"/>
            </w:pPr>
            <w:r/>
            <w:r>
              <w:rPr>
                <w:rFonts w:ascii="Liberation Sans" w:hAnsi="Liberation Sans"/>
                <w:b/>
                <w:color w:val="102033"/>
                <w:sz w:val="17"/>
              </w:rPr>
              <w:t>Objeto</w:t>
            </w:r>
          </w:p>
        </w:tc>
        <w:tc>
          <w:tcPr>
            <w:tcW w:type="dxa" w:w="6803"/>
            <w:vAlign w:val="center"/>
          </w:tcPr>
          <w:p>
            <w:pPr>
              <w:spacing w:after="0"/>
            </w:pPr>
            <w:r/>
            <w:r>
              <w:rPr>
                <w:rFonts w:ascii="Liberation Sans" w:hAnsi="Liberation Sans"/>
                <w:b w:val="0"/>
                <w:color w:val="374151"/>
                <w:sz w:val="17"/>
              </w:rPr>
              <w:t>{{OBJETO_RESUMIDO}}</w:t>
            </w:r>
          </w:p>
        </w:tc>
      </w:tr>
      <w:tr>
        <w:tc>
          <w:tcPr>
            <w:tcW w:type="dxa" w:w="2551"/>
            <w:vAlign w:val="center"/>
            <w:shd w:fill="EAF1F8"/>
          </w:tcPr>
          <w:p>
            <w:pPr>
              <w:spacing w:after="0"/>
            </w:pPr>
            <w:r/>
            <w:r>
              <w:rPr>
                <w:rFonts w:ascii="Liberation Sans" w:hAnsi="Liberation Sans"/>
                <w:b/>
                <w:color w:val="102033"/>
                <w:sz w:val="17"/>
              </w:rPr>
              <w:t>Vigência</w:t>
            </w:r>
          </w:p>
        </w:tc>
        <w:tc>
          <w:tcPr>
            <w:tcW w:type="dxa" w:w="6803"/>
            <w:vAlign w:val="center"/>
          </w:tcPr>
          <w:p>
            <w:pPr>
              <w:spacing w:after="0"/>
            </w:pPr>
            <w:r/>
            <w:r>
              <w:rPr>
                <w:rFonts w:ascii="Liberation Sans" w:hAnsi="Liberation Sans"/>
                <w:b w:val="0"/>
                <w:color w:val="374151"/>
                <w:sz w:val="17"/>
              </w:rPr>
              <w:t>{{VIGENCIA}}</w:t>
            </w:r>
          </w:p>
        </w:tc>
      </w:tr>
      <w:tr>
        <w:tc>
          <w:tcPr>
            <w:tcW w:type="dxa" w:w="2551"/>
            <w:vAlign w:val="center"/>
            <w:shd w:fill="EAF1F8"/>
          </w:tcPr>
          <w:p>
            <w:pPr>
              <w:spacing w:after="0"/>
            </w:pPr>
            <w:r/>
            <w:r>
              <w:rPr>
                <w:rFonts w:ascii="Liberation Sans" w:hAnsi="Liberation Sans"/>
                <w:b/>
                <w:color w:val="102033"/>
                <w:sz w:val="17"/>
              </w:rPr>
              <w:t>Preço / remuneração</w:t>
            </w:r>
          </w:p>
        </w:tc>
        <w:tc>
          <w:tcPr>
            <w:tcW w:type="dxa" w:w="6803"/>
            <w:vAlign w:val="center"/>
          </w:tcPr>
          <w:p>
            <w:pPr>
              <w:spacing w:after="0"/>
            </w:pPr>
            <w:r/>
            <w:r>
              <w:rPr>
                <w:rFonts w:ascii="Liberation Sans" w:hAnsi="Liberation Sans"/>
                <w:b w:val="0"/>
                <w:color w:val="374151"/>
                <w:sz w:val="17"/>
              </w:rPr>
              <w:t>{{PRECO_E_FORMA_DE_PAGAMENTO}}</w:t>
            </w:r>
          </w:p>
        </w:tc>
      </w:tr>
      <w:tr>
        <w:tc>
          <w:tcPr>
            <w:tcW w:type="dxa" w:w="2551"/>
            <w:vAlign w:val="center"/>
            <w:shd w:fill="EAF1F8"/>
          </w:tcPr>
          <w:p>
            <w:pPr>
              <w:spacing w:after="0"/>
            </w:pPr>
            <w:r/>
            <w:r>
              <w:rPr>
                <w:rFonts w:ascii="Liberation Sans" w:hAnsi="Liberation Sans"/>
                <w:b/>
                <w:color w:val="102033"/>
                <w:sz w:val="17"/>
              </w:rPr>
              <w:t>Reajuste</w:t>
            </w:r>
          </w:p>
        </w:tc>
        <w:tc>
          <w:tcPr>
            <w:tcW w:type="dxa" w:w="6803"/>
            <w:vAlign w:val="center"/>
          </w:tcPr>
          <w:p>
            <w:pPr>
              <w:spacing w:after="0"/>
            </w:pPr>
            <w:r/>
            <w:r>
              <w:rPr>
                <w:rFonts w:ascii="Liberation Sans" w:hAnsi="Liberation Sans"/>
                <w:b w:val="0"/>
                <w:color w:val="374151"/>
                <w:sz w:val="17"/>
              </w:rPr>
              <w:t>{{INDICE_E_PERIODICIDADE}}</w:t>
            </w:r>
          </w:p>
        </w:tc>
      </w:tr>
      <w:tr>
        <w:tc>
          <w:tcPr>
            <w:tcW w:type="dxa" w:w="2551"/>
            <w:vAlign w:val="center"/>
            <w:shd w:fill="EAF1F8"/>
          </w:tcPr>
          <w:p>
            <w:pPr>
              <w:spacing w:after="0"/>
            </w:pPr>
            <w:r/>
            <w:r>
              <w:rPr>
                <w:rFonts w:ascii="Liberation Sans" w:hAnsi="Liberation Sans"/>
                <w:b/>
                <w:color w:val="102033"/>
                <w:sz w:val="17"/>
              </w:rPr>
              <w:t>SLA/aceite</w:t>
            </w:r>
          </w:p>
        </w:tc>
        <w:tc>
          <w:tcPr>
            <w:tcW w:type="dxa" w:w="6803"/>
            <w:vAlign w:val="center"/>
          </w:tcPr>
          <w:p>
            <w:pPr>
              <w:spacing w:after="0"/>
            </w:pPr>
            <w:r/>
            <w:r>
              <w:rPr>
                <w:rFonts w:ascii="Liberation Sans" w:hAnsi="Liberation Sans"/>
                <w:b w:val="0"/>
                <w:color w:val="374151"/>
                <w:sz w:val="17"/>
              </w:rPr>
              <w:t>{{SLA_E_ACEITE}}</w:t>
            </w:r>
          </w:p>
        </w:tc>
      </w:tr>
      <w:tr>
        <w:tc>
          <w:tcPr>
            <w:tcW w:type="dxa" w:w="2551"/>
            <w:vAlign w:val="center"/>
            <w:shd w:fill="EAF1F8"/>
          </w:tcPr>
          <w:p>
            <w:pPr>
              <w:spacing w:after="0"/>
            </w:pPr>
            <w:r/>
            <w:r>
              <w:rPr>
                <w:rFonts w:ascii="Liberation Sans" w:hAnsi="Liberation Sans"/>
                <w:b/>
                <w:color w:val="102033"/>
                <w:sz w:val="17"/>
              </w:rPr>
              <w:t>Dados pessoais</w:t>
            </w:r>
          </w:p>
        </w:tc>
        <w:tc>
          <w:tcPr>
            <w:tcW w:type="dxa" w:w="6803"/>
            <w:vAlign w:val="center"/>
          </w:tcPr>
          <w:p>
            <w:pPr>
              <w:spacing w:after="0"/>
            </w:pPr>
            <w:r/>
            <w:r>
              <w:rPr>
                <w:rFonts w:ascii="Liberation Sans" w:hAnsi="Liberation Sans"/>
                <w:b w:val="0"/>
                <w:color w:val="374151"/>
                <w:sz w:val="17"/>
              </w:rPr>
              <w:t>{{PAPEIS_LGPD}}</w:t>
            </w:r>
          </w:p>
        </w:tc>
      </w:tr>
      <w:tr>
        <w:tc>
          <w:tcPr>
            <w:tcW w:type="dxa" w:w="2551"/>
            <w:vAlign w:val="center"/>
            <w:shd w:fill="EAF1F8"/>
          </w:tcPr>
          <w:p>
            <w:pPr>
              <w:spacing w:after="0"/>
            </w:pPr>
            <w:r/>
            <w:r>
              <w:rPr>
                <w:rFonts w:ascii="Liberation Sans" w:hAnsi="Liberation Sans"/>
                <w:b/>
                <w:color w:val="102033"/>
                <w:sz w:val="17"/>
              </w:rPr>
              <w:t>Controvérsias</w:t>
            </w:r>
          </w:p>
        </w:tc>
        <w:tc>
          <w:tcPr>
            <w:tcW w:type="dxa" w:w="6803"/>
            <w:vAlign w:val="center"/>
          </w:tcPr>
          <w:p>
            <w:pPr>
              <w:spacing w:after="0"/>
            </w:pPr>
            <w:r/>
            <w:r>
              <w:rPr>
                <w:rFonts w:ascii="Liberation Sans" w:hAnsi="Liberation Sans"/>
                <w:b w:val="0"/>
                <w:color w:val="374151"/>
                <w:sz w:val="17"/>
              </w:rPr>
              <w:t>{{FORO_OU_CAMARA_ARBITRAL}}</w:t>
            </w:r>
          </w:p>
        </w:tc>
      </w:tr>
    </w:tbl>
    <w:p/>
    <w:p>
      <w:pPr>
        <w:jc w:val="both"/>
      </w:pPr>
      <w:r>
        <w:t>{{PARTE_A_RAZAO_SOCIAL}}, pessoa jurídica de direito privado, inscrita no CNPJ sob nº {{PARTE_A_CNPJ}}, com sede em {{PARTE_A_ENDERECO}}, neste ato representada na forma de seus atos constitutivos, doravante denominada "CLIENTE"; e</w:t>
      </w:r>
    </w:p>
    <w:p>
      <w:pPr>
        <w:jc w:val="both"/>
      </w:pPr>
      <w:r>
        <w:t>{{PARTE_B_RAZAO_SOCIAL}}, pessoa jurídica de direito privado, inscrita no CNPJ sob nº {{PARTE_B_CNPJ}}, com sede em {{PARTE_B_ENDERECO}}, neste ato representada na forma de seus atos constitutivos, doravante denominada "DESENVOLVEDORA";</w:t>
      </w:r>
    </w:p>
    <w:p>
      <w:pPr>
        <w:jc w:val="both"/>
      </w:pPr>
      <w:r>
        <w:t>em conjunto denominadas "Partes" e, isoladamente, "Parte", resolvem celebrar o presente instrumento, conforme as cláusulas e condições seguintes.</w:t>
      </w:r>
    </w:p>
    <w:p>
      <w:pPr>
        <w:pStyle w:val="Heading1"/>
      </w:pPr>
      <w:r>
        <w:t>CONSIDERANDOS</w:t>
      </w:r>
    </w:p>
    <w:p>
      <w:pPr>
        <w:ind w:left="283" w:hanging="170"/>
      </w:pPr>
      <w:r>
        <w:rPr>
          <w:b/>
        </w:rPr>
        <w:t xml:space="preserve">• </w:t>
      </w:r>
      <w:r>
        <w:t>que a CLIENTE e a DESENVOLVEDORA possuem capacidade técnica, econômica e jurídica para assumir as obrigações previstas;</w:t>
      </w:r>
    </w:p>
    <w:p>
      <w:pPr>
        <w:ind w:left="283" w:hanging="170"/>
      </w:pPr>
      <w:r>
        <w:rPr>
          <w:b/>
        </w:rPr>
        <w:t xml:space="preserve">• </w:t>
      </w:r>
      <w:r>
        <w:t>que as Partes desejam disciplinar desenvolvimento de software customizado e implantação, com escopo, preço, responsabilidades, riscos e encerramento objetivos;</w:t>
      </w:r>
    </w:p>
    <w:p>
      <w:pPr>
        <w:ind w:left="283" w:hanging="170"/>
      </w:pPr>
      <w:r>
        <w:rPr>
          <w:b/>
        </w:rPr>
        <w:t xml:space="preserve">• </w:t>
      </w:r>
      <w:r>
        <w:t>que a contratação empresarial será executada com boa-fé, cooperação, proporcionalidade e respeito à alocação de riscos negociada.</w:t>
      </w:r>
    </w:p>
    <w:p>
      <w:pPr>
        <w:pStyle w:val="Heading1"/>
        <w:keepNext/>
        <w:spacing w:before="120" w:after="40"/>
      </w:pPr>
      <w:r>
        <w:t>CLÁUSULA 1 - DEFINIÇÕES, DOCUMENTOS E INTERPRETAÇÃO</w:t>
      </w:r>
    </w:p>
    <w:p>
      <w:pPr>
        <w:keepLines w:val="0"/>
        <w:widowControl/>
        <w:jc w:val="both"/>
      </w:pPr>
      <w:r>
        <w:rPr>
          <w:b/>
        </w:rPr>
        <w:t xml:space="preserve">1.1. </w:t>
      </w:r>
      <w:r>
        <w:t>Os termos grafados com inicial maiúscula terão o significado atribuído neste Contrato ou em seus Anexos. Em caso de conflito, prevalecerão, nesta ordem: aditivo assinado por ambas as Partes, quadro-resumo, corpo do Contrato, anexos técnicos e comunicações operacionais formalmente aprovadas.</w:t>
      </w:r>
    </w:p>
    <w:p>
      <w:pPr>
        <w:keepLines w:val="0"/>
        <w:widowControl/>
        <w:jc w:val="both"/>
      </w:pPr>
      <w:r>
        <w:rPr>
          <w:b/>
        </w:rPr>
        <w:t xml:space="preserve">1.2. </w:t>
      </w:r>
      <w:r>
        <w:t>Nenhuma tolerância, prática operacional ou comunicação informal alterará preço, escopo, responsabilidade, propriedade intelectual, vigência ou solução de controvérsias sem registro escrito pelos representantes autorizados.</w:t>
      </w:r>
    </w:p>
    <w:p>
      <w:pPr>
        <w:keepLines w:val="0"/>
        <w:widowControl/>
        <w:jc w:val="both"/>
      </w:pPr>
      <w:r>
        <w:rPr>
          <w:b/>
        </w:rPr>
        <w:t xml:space="preserve">1.3. </w:t>
      </w:r>
      <w:r>
        <w:t>Os prazos serão contados em dias corridos, salvo indicação expressa de dias úteis. Referências legais compreenderão suas alterações posteriores e normas complementares aplicáveis.</w:t>
      </w:r>
    </w:p>
    <w:p>
      <w:pPr>
        <w:pStyle w:val="Heading1"/>
        <w:keepNext/>
        <w:spacing w:before="120" w:after="40"/>
      </w:pPr>
      <w:r>
        <w:t>CLÁUSULA 2 - OBJETO E LIMITES DO ESCOPO</w:t>
      </w:r>
    </w:p>
    <w:p>
      <w:pPr>
        <w:keepLines w:val="0"/>
        <w:widowControl/>
        <w:jc w:val="both"/>
      </w:pPr>
      <w:r>
        <w:rPr>
          <w:b/>
        </w:rPr>
        <w:t xml:space="preserve">2.1. </w:t>
      </w:r>
      <w:r>
        <w:t>A DESENVOLVEDORA conceberá, desenvolverá, testará e entregará o software e a documentação descritos no Anexo I, observando arquitetura, requisitos, marcos e critérios de aceite.</w:t>
      </w:r>
    </w:p>
    <w:p>
      <w:pPr>
        <w:keepLines w:val="0"/>
        <w:widowControl/>
        <w:jc w:val="both"/>
      </w:pPr>
      <w:r>
        <w:rPr>
          <w:b/>
        </w:rPr>
        <w:t xml:space="preserve">2.2. </w:t>
      </w:r>
      <w:r>
        <w:t>Atividades, produtos, funcionalidades, volumes ou resultados não descritos no Anexo I não integram o objeto. Qualquer ampliação será submetida ao procedimento de mudança, com avaliação de impacto em prazo, preço, riscos, dependências e recursos.</w:t>
      </w:r>
    </w:p>
    <w:p>
      <w:pPr>
        <w:keepLines w:val="0"/>
        <w:widowControl/>
        <w:jc w:val="both"/>
      </w:pPr>
      <w:r>
        <w:rPr>
          <w:b/>
        </w:rPr>
        <w:t xml:space="preserve">2.3. </w:t>
      </w:r>
      <w:r>
        <w:t>As Partes cooperarão para eliminar ambiguidades antes da execução. A ausência de detalhamento não autoriza qualquer Parte a impor obrigação material que não decorra razoavelmente do objeto e dos critérios expressos.</w:t>
      </w:r>
    </w:p>
    <w:p>
      <w:pPr>
        <w:pStyle w:val="Heading1"/>
        <w:keepNext/>
        <w:spacing w:before="120" w:after="40"/>
      </w:pPr>
      <w:r>
        <w:t>CLÁUSULA 3 - GOVERNANÇA, COOPERAÇÃO E GESTÃO DE MUDANÇAS</w:t>
      </w:r>
    </w:p>
    <w:p>
      <w:pPr>
        <w:keepLines w:val="0"/>
        <w:widowControl/>
        <w:jc w:val="both"/>
      </w:pPr>
      <w:r>
        <w:rPr>
          <w:b/>
        </w:rPr>
        <w:t xml:space="preserve">3.1. </w:t>
      </w:r>
      <w:r>
        <w:t>Cada Parte indicará gestor com poderes para acompanhar a execução, aprovar entregas operacionais e registrar decisões, sem poderes para renunciar direitos ou alterar condições essenciais sem autorização específica.</w:t>
      </w:r>
    </w:p>
    <w:p>
      <w:pPr>
        <w:keepLines w:val="0"/>
        <w:widowControl/>
        <w:jc w:val="both"/>
      </w:pPr>
      <w:r>
        <w:rPr>
          <w:b/>
        </w:rPr>
        <w:t xml:space="preserve">3.2. </w:t>
      </w:r>
      <w:r>
        <w:t>Reuniões de acompanhamento ocorrerão na periodicidade do Anexo I. Decisões, riscos, impedimentos e planos de ação relevantes serão registrados em ata, ferramenta de projeto ou e-mail de confirmação.</w:t>
      </w:r>
    </w:p>
    <w:p>
      <w:pPr>
        <w:keepLines w:val="0"/>
        <w:widowControl/>
        <w:jc w:val="both"/>
      </w:pPr>
      <w:r>
        <w:rPr>
          <w:b/>
        </w:rPr>
        <w:t xml:space="preserve">3.3. </w:t>
      </w:r>
      <w:r>
        <w:t>Mudanças de escopo exigirão solicitação escrita, descrição da necessidade, impacto técnico e econômico, riscos, cronograma e aceite expresso. Enquanto não aprovada a mudança, permanece exigível apenas o escopo vigente.</w:t>
      </w:r>
    </w:p>
    <w:p>
      <w:pPr>
        <w:pStyle w:val="Heading1"/>
        <w:keepNext/>
        <w:spacing w:before="120" w:after="40"/>
      </w:pPr>
      <w:r>
        <w:t>CLÁUSULA 4 - OBRIGAÇÕES DA CLIENTE</w:t>
      </w:r>
    </w:p>
    <w:p>
      <w:pPr>
        <w:keepLines w:val="0"/>
        <w:widowControl/>
        <w:jc w:val="both"/>
      </w:pPr>
      <w:r>
        <w:rPr>
          <w:b/>
        </w:rPr>
        <w:t xml:space="preserve">4.1. </w:t>
      </w:r>
      <w:r>
        <w:t>A CLIENTE cumprirá as obrigações, dependências e prazos atribuídos no Anexo I, fornecerá informações razoavelmente necessárias e manterá representantes aptos a tomar decisões tempestivas.</w:t>
      </w:r>
    </w:p>
    <w:p>
      <w:pPr>
        <w:keepLines w:val="0"/>
        <w:widowControl/>
        <w:jc w:val="both"/>
      </w:pPr>
      <w:r>
        <w:rPr>
          <w:b/>
        </w:rPr>
        <w:t xml:space="preserve">4.2. </w:t>
      </w:r>
      <w:r>
        <w:t>A CLIENTE responderá pela exatidão, legitimidade e atualidade dos materiais, dados e instruções que fornecer, ressalvadas inconsistências que a outra Parte pudesse identificar segundo a diligência técnica esperada.</w:t>
      </w:r>
    </w:p>
    <w:p>
      <w:pPr>
        <w:keepLines w:val="0"/>
        <w:widowControl/>
        <w:jc w:val="both"/>
      </w:pPr>
      <w:r>
        <w:rPr>
          <w:b/>
        </w:rPr>
        <w:t xml:space="preserve">4.3. </w:t>
      </w:r>
      <w:r>
        <w:t>A CLIENTE comunicará prontamente fatos que possam afetar a execução, inclusive incidentes, restrições regulatórias, mudanças de prioridade, conflitos de terceiros e indisponibilidade de recursos sob sua responsabilidade.</w:t>
      </w:r>
    </w:p>
    <w:p>
      <w:pPr>
        <w:pStyle w:val="Heading1"/>
        <w:keepNext/>
        <w:spacing w:before="120" w:after="40"/>
      </w:pPr>
      <w:r>
        <w:t>CLÁUSULA 5 - OBRIGAÇÕES DA DESENVOLVEDORA</w:t>
      </w:r>
    </w:p>
    <w:p>
      <w:pPr>
        <w:keepLines w:val="0"/>
        <w:widowControl/>
        <w:jc w:val="both"/>
      </w:pPr>
      <w:r>
        <w:rPr>
          <w:b/>
        </w:rPr>
        <w:t xml:space="preserve">5.1. </w:t>
      </w:r>
      <w:r>
        <w:t>A DESENVOLVEDORA executará suas obrigações com diligência, boa técnica, pessoal qualificado, observância às especificações e documentação suficiente para permitir verificação objetiva.</w:t>
      </w:r>
    </w:p>
    <w:p>
      <w:pPr>
        <w:keepLines w:val="0"/>
        <w:widowControl/>
        <w:jc w:val="both"/>
      </w:pPr>
      <w:r>
        <w:rPr>
          <w:b/>
        </w:rPr>
        <w:t xml:space="preserve">5.2. </w:t>
      </w:r>
      <w:r>
        <w:t>A DESENVOLVEDORA manterá controles internos compatíveis com o risco da operação, comunicará desvios materiais e adotará medidas razoáveis para evitar agravamento de danos ou atrasos.</w:t>
      </w:r>
    </w:p>
    <w:p>
      <w:pPr>
        <w:keepLines w:val="0"/>
        <w:widowControl/>
        <w:jc w:val="both"/>
      </w:pPr>
      <w:r>
        <w:rPr>
          <w:b/>
        </w:rPr>
        <w:t xml:space="preserve">5.3. </w:t>
      </w:r>
      <w:r>
        <w:t>A DESENVOLVEDORA não poderá substituir premissas, componentes essenciais, profissionais-chave ou métodos que afetem materialmente o resultado sem comunicação e aprovação nos casos definidos no Anexo I.</w:t>
      </w:r>
    </w:p>
    <w:p>
      <w:pPr>
        <w:pStyle w:val="Heading1"/>
        <w:keepNext/>
        <w:spacing w:before="120" w:after="40"/>
      </w:pPr>
      <w:r>
        <w:t>CLÁUSULA 6 - REMUNERAÇÃO, FATURAMENTO, TRIBUTOS E REAJUSTE</w:t>
      </w:r>
    </w:p>
    <w:p>
      <w:pPr>
        <w:keepLines w:val="0"/>
        <w:widowControl/>
        <w:jc w:val="both"/>
      </w:pPr>
      <w:r>
        <w:rPr>
          <w:b/>
        </w:rPr>
        <w:t xml:space="preserve">6.1. </w:t>
      </w:r>
      <w:r>
        <w:t>A remuneração, os marcos de faturamento, as condições de pagamento e eventuais despesas reembolsáveis constam do Anexo II. Nenhum valor adicional será devido sem autorização prévia e documentação de suporte.</w:t>
      </w:r>
    </w:p>
    <w:p>
      <w:pPr>
        <w:keepLines w:val="0"/>
        <w:widowControl/>
        <w:jc w:val="both"/>
      </w:pPr>
      <w:r>
        <w:rPr>
          <w:b/>
        </w:rPr>
        <w:t xml:space="preserve">6.2. </w:t>
      </w:r>
      <w:r>
        <w:t>As notas fiscais deverão conter os elementos exigidos pela legislação e serão pagas no prazo contratual. Erros materiais serão comunicados em até {{PRAZO_CONTESTACAO_FATURA}} dias úteis, com pagamento da parcela incontroversa na data original.</w:t>
      </w:r>
    </w:p>
    <w:p>
      <w:pPr>
        <w:keepLines w:val="0"/>
        <w:widowControl/>
        <w:jc w:val="both"/>
      </w:pPr>
      <w:r>
        <w:rPr>
          <w:b/>
        </w:rPr>
        <w:t xml:space="preserve">6.3. </w:t>
      </w:r>
      <w:r>
        <w:t>Cada Parte arcará com os tributos de sua responsabilidade. Retenções legalmente exigidas serão realizadas mediante comprovante. O reajuste observará periodicidade mínima legal e índice objetivo indicado no quadro-resumo, vedada alteração unilateral discricionária.</w:t>
      </w:r>
    </w:p>
    <w:p>
      <w:pPr>
        <w:keepLines w:val="0"/>
        <w:widowControl/>
        <w:jc w:val="both"/>
      </w:pPr>
      <w:r>
        <w:rPr>
          <w:b/>
        </w:rPr>
        <w:t xml:space="preserve">6.4. </w:t>
      </w:r>
      <w:r>
        <w:t>A compensação ou retenção de valores somente ocorrerá quanto a créditos líquidos, vencidos e documentalmente demonstrados, após notificação e oportunidade de manifestação, salvo determinação legal ou judicial.</w:t>
      </w:r>
    </w:p>
    <w:p>
      <w:pPr>
        <w:pStyle w:val="Heading1"/>
        <w:keepNext/>
        <w:spacing w:before="120" w:after="40"/>
      </w:pPr>
      <w:r>
        <w:t>CLÁUSULA 7 - ACEITE, QUALIDADE E NÃO CONFORMIDADES</w:t>
      </w:r>
    </w:p>
    <w:p>
      <w:pPr>
        <w:keepLines w:val="0"/>
        <w:widowControl/>
        <w:jc w:val="both"/>
      </w:pPr>
      <w:r>
        <w:rPr>
          <w:b/>
        </w:rPr>
        <w:t xml:space="preserve">7.1. </w:t>
      </w:r>
      <w:r>
        <w:t>Quando aplicável, entregas serão avaliadas segundo critérios objetivos do Anexo III. A Parte recebedora indicará, de forma específica, a desconformidade, o requisito afetado e evidências mínimas para reprodução.</w:t>
      </w:r>
    </w:p>
    <w:p>
      <w:pPr>
        <w:keepLines w:val="0"/>
        <w:widowControl/>
        <w:jc w:val="both"/>
      </w:pPr>
      <w:r>
        <w:rPr>
          <w:b/>
        </w:rPr>
        <w:t xml:space="preserve">7.2. </w:t>
      </w:r>
      <w:r>
        <w:t>A ausência de manifestação no prazo de aceite poderá caracterizar aceite operacional apenas quanto aos requisitos verificáveis, sem abranger defeitos ocultos, obrigações contínuas, segurança, titularidade ou conformidade legal.</w:t>
      </w:r>
    </w:p>
    <w:p>
      <w:pPr>
        <w:keepLines w:val="0"/>
        <w:widowControl/>
        <w:jc w:val="both"/>
      </w:pPr>
      <w:r>
        <w:rPr>
          <w:b/>
        </w:rPr>
        <w:t xml:space="preserve">7.3. </w:t>
      </w:r>
      <w:r>
        <w:t>Não conformidades imputáveis à Parte executora serão corrigidas em prazo razoável e proporcional à severidade, sem cobrança adicional. Divergências sobre preferência estética ou requisito não contratado serão tratadas como mudança de escopo.</w:t>
      </w:r>
    </w:p>
    <w:p>
      <w:pPr>
        <w:pStyle w:val="Heading1"/>
        <w:keepNext/>
        <w:spacing w:before="120" w:after="40"/>
      </w:pPr>
      <w:r>
        <w:t>CLÁUSULA 8 - ARQUITETURA, REPOSITÓRIO E CÓDIGO-FONTE</w:t>
      </w:r>
    </w:p>
    <w:p>
      <w:pPr>
        <w:keepLines w:val="0"/>
        <w:widowControl/>
        <w:jc w:val="both"/>
      </w:pPr>
      <w:r>
        <w:rPr>
          <w:b/>
        </w:rPr>
        <w:t xml:space="preserve">8.1. </w:t>
      </w:r>
      <w:r>
        <w:t>O código será versionado em repositório indicado no Anexo I, com acesso proporcional ao modelo de titularidade e política de branches, revisão e backup.</w:t>
      </w:r>
    </w:p>
    <w:p>
      <w:pPr>
        <w:keepLines w:val="0"/>
        <w:widowControl/>
        <w:jc w:val="both"/>
      </w:pPr>
      <w:r>
        <w:rPr>
          <w:b/>
        </w:rPr>
        <w:t xml:space="preserve">8.2. </w:t>
      </w:r>
      <w:r>
        <w:t>Componentes preexistentes e bibliotecas genéricas serão identificados; o código especificamente desenvolvido terá a titularidade ou licença prevista no Anexo I após pagamento dos valores correspondentes.</w:t>
      </w:r>
    </w:p>
    <w:p>
      <w:pPr>
        <w:keepLines w:val="0"/>
        <w:widowControl/>
        <w:jc w:val="both"/>
      </w:pPr>
      <w:r>
        <w:rPr>
          <w:b/>
        </w:rPr>
        <w:t xml:space="preserve">8.3. </w:t>
      </w:r>
      <w:r>
        <w:t>A DESENVOLVEDORA entregará documentação técnica, instruções de implantação e dependências suficientes para manutenção por equipe razoavelmente qualificada.</w:t>
      </w:r>
    </w:p>
    <w:p>
      <w:pPr>
        <w:pStyle w:val="Heading1"/>
        <w:keepNext/>
        <w:spacing w:before="120" w:after="40"/>
      </w:pPr>
      <w:r>
        <w:t>CLÁUSULA 9 - TESTES, VULNERABILIDADES E GARANTIA</w:t>
      </w:r>
    </w:p>
    <w:p>
      <w:pPr>
        <w:keepLines w:val="0"/>
        <w:widowControl/>
        <w:jc w:val="both"/>
      </w:pPr>
      <w:r>
        <w:rPr>
          <w:b/>
        </w:rPr>
        <w:t xml:space="preserve">9.1. </w:t>
      </w:r>
      <w:r>
        <w:t>Testes unitários, integração, segurança e aceite serão executados conforme matriz. Vulnerabilidade crítica introduzida pela DESENVOLVEDORA será corrigida sem custo durante a garantia.</w:t>
      </w:r>
    </w:p>
    <w:p>
      <w:pPr>
        <w:keepLines w:val="0"/>
        <w:widowControl/>
        <w:jc w:val="both"/>
      </w:pPr>
      <w:r>
        <w:rPr>
          <w:b/>
        </w:rPr>
        <w:t xml:space="preserve">9.2. </w:t>
      </w:r>
      <w:r>
        <w:t>A garantia não cobre modificação por terceiros, uso fora da especificação ou infraestrutura não controlada, desde que a causa seja demonstrada.</w:t>
      </w:r>
    </w:p>
    <w:p>
      <w:pPr>
        <w:keepLines w:val="0"/>
        <w:widowControl/>
        <w:jc w:val="both"/>
      </w:pPr>
      <w:r>
        <w:rPr>
          <w:b/>
        </w:rPr>
        <w:t xml:space="preserve">9.3. </w:t>
      </w:r>
      <w:r>
        <w:t>Débitos técnicos aceitos serão registrados com impacto e plano, não podendo ser ocultados ou transferidos como obrigação futura sem ciência do CLIENTE.</w:t>
      </w:r>
    </w:p>
    <w:p>
      <w:pPr>
        <w:pStyle w:val="Heading1"/>
        <w:keepNext/>
        <w:spacing w:before="120" w:after="40"/>
      </w:pPr>
      <w:r>
        <w:t>CLÁUSULA 10 - CONFIDENCIALIDADE E SEGREDOS DE NEGÓCIO</w:t>
      </w:r>
    </w:p>
    <w:p>
      <w:pPr>
        <w:keepLines w:val="0"/>
        <w:widowControl/>
        <w:jc w:val="both"/>
      </w:pPr>
      <w:r>
        <w:rPr>
          <w:b/>
        </w:rPr>
        <w:t xml:space="preserve">10.1. </w:t>
      </w:r>
      <w:r>
        <w:t>Cada Parte protegerá as informações não públicas recebidas da outra, utilizando-as exclusivamente para a execução deste Contrato e limitando o acesso a pessoas que necessitem conhecê-las e estejam sujeitas a dever de sigilo.</w:t>
      </w:r>
    </w:p>
    <w:p>
      <w:pPr>
        <w:keepLines w:val="0"/>
        <w:widowControl/>
        <w:jc w:val="both"/>
      </w:pPr>
      <w:r>
        <w:rPr>
          <w:b/>
        </w:rPr>
        <w:t xml:space="preserve">10.2. </w:t>
      </w:r>
      <w:r>
        <w:t>Não serão confidenciais informações comprovadamente públicas sem violação, conhecidas anteriormente, recebidas legitimamente de terceiro, desenvolvidas de forma independente ou divulgadas por obrigação legal, hipótese em que haverá comunicação prévia quando juridicamente possível.</w:t>
      </w:r>
    </w:p>
    <w:p>
      <w:pPr>
        <w:keepLines w:val="0"/>
        <w:widowControl/>
        <w:jc w:val="both"/>
      </w:pPr>
      <w:r>
        <w:rPr>
          <w:b/>
        </w:rPr>
        <w:t xml:space="preserve">10.3. </w:t>
      </w:r>
      <w:r>
        <w:t>O dever permanecerá por 5 anos após o término, exceto quanto a segredos de negócio, credenciais, chaves, dados pessoais e informações cuja natureza exija proteção enquanto perdurar a sensibilidade. Cópias mantidas por obrigação legal ou backup continuarão protegidas.</w:t>
      </w:r>
    </w:p>
    <w:p>
      <w:pPr>
        <w:pStyle w:val="Heading1"/>
        <w:keepNext/>
        <w:spacing w:before="120" w:after="40"/>
      </w:pPr>
      <w:r>
        <w:t>CLÁUSULA 11 - PROTEÇÃO DE DADOS PESSOAIS E SEGURANÇA DA INFORMAÇÃO</w:t>
      </w:r>
    </w:p>
    <w:p>
      <w:pPr>
        <w:keepLines w:val="0"/>
        <w:widowControl/>
        <w:jc w:val="both"/>
      </w:pPr>
      <w:r>
        <w:rPr>
          <w:b/>
        </w:rPr>
        <w:t xml:space="preserve">11.1. </w:t>
      </w:r>
      <w:r>
        <w:t>Cada Parte tratará dados pessoais conforme a Lei nº 13.709/2018 e normas aplicáveis, definindo os papéis de controlador, operador ou controladores independentes de acordo com as decisões efetivamente exercidas, e não apenas pela nomenclatura contratual.</w:t>
      </w:r>
    </w:p>
    <w:p>
      <w:pPr>
        <w:keepLines w:val="0"/>
        <w:widowControl/>
        <w:jc w:val="both"/>
      </w:pPr>
      <w:r>
        <w:rPr>
          <w:b/>
        </w:rPr>
        <w:t xml:space="preserve">11.2. </w:t>
      </w:r>
      <w:r>
        <w:t>Quando uma Parte atuar como operadora, tratará dados somente segundo instruções documentadas e lícitas, adotará medidas técnicas e administrativas compatíveis com os riscos, limitará acessos, manterá registros e assegurará obrigações equivalentes a suboperadores autorizados.</w:t>
      </w:r>
    </w:p>
    <w:p>
      <w:pPr>
        <w:keepLines w:val="0"/>
        <w:widowControl/>
        <w:jc w:val="both"/>
      </w:pPr>
      <w:r>
        <w:rPr>
          <w:b/>
        </w:rPr>
        <w:t xml:space="preserve">11.3. </w:t>
      </w:r>
      <w:r>
        <w:t>Incidentes confirmados que possam afetar a outra Parte serão comunicados sem demora indevida, com informações disponíveis sobre natureza, dados, titulares, medidas de contenção e plano de resposta. A comunicação não constituirá admissão automática de responsabilidade.</w:t>
      </w:r>
    </w:p>
    <w:p>
      <w:pPr>
        <w:keepLines w:val="0"/>
        <w:widowControl/>
        <w:jc w:val="both"/>
      </w:pPr>
      <w:r>
        <w:rPr>
          <w:b/>
        </w:rPr>
        <w:t xml:space="preserve">11.4. </w:t>
      </w:r>
      <w:r>
        <w:t>Ao término, os dados serão devolvidos, portados, anonimizados ou eliminados conforme instrução, base legal, prazos de retenção e viabilidade técnica, preservadas cópias inacessíveis em backups até sua sobrescrição regular.</w:t>
      </w:r>
    </w:p>
    <w:p>
      <w:pPr>
        <w:pStyle w:val="Heading1"/>
        <w:keepNext/>
        <w:spacing w:before="120" w:after="40"/>
      </w:pPr>
      <w:r>
        <w:t>CLÁUSULA 12 - PROPRIEDADE INTELECTUAL, MATERIAIS E DIREITOS DE TERCEIROS</w:t>
      </w:r>
    </w:p>
    <w:p>
      <w:pPr>
        <w:keepLines w:val="0"/>
        <w:widowControl/>
        <w:jc w:val="both"/>
      </w:pPr>
      <w:r>
        <w:rPr>
          <w:b/>
        </w:rPr>
        <w:t xml:space="preserve">12.1. </w:t>
      </w:r>
      <w:r>
        <w:t>Cada Parte conserva a titularidade de ativos, marcas, métodos, bases, softwares, documentos e conhecimentos preexistentes. Nenhuma licença será presumida além da estritamente necessária à execução do objeto.</w:t>
      </w:r>
    </w:p>
    <w:p>
      <w:pPr>
        <w:keepLines w:val="0"/>
        <w:widowControl/>
        <w:jc w:val="both"/>
      </w:pPr>
      <w:r>
        <w:rPr>
          <w:b/>
        </w:rPr>
        <w:t xml:space="preserve">12.2. </w:t>
      </w:r>
      <w:r>
        <w:t>A titularidade e os direitos de uso sobre entregáveis específicos seguirão o Anexo I, que distinguirá materiais preexistentes, componentes de terceiros, ferramentas genéricas e resultados desenvolvidos sob encomenda.</w:t>
      </w:r>
    </w:p>
    <w:p>
      <w:pPr>
        <w:keepLines w:val="0"/>
        <w:widowControl/>
        <w:jc w:val="both"/>
      </w:pPr>
      <w:r>
        <w:rPr>
          <w:b/>
        </w:rPr>
        <w:t xml:space="preserve">12.3. </w:t>
      </w:r>
      <w:r>
        <w:t>A Parte que incorporar conteúdo de terceiros deverá possuir as licenças necessárias e informar restrições relevantes. Componentes de código aberto observarão as respectivas licenças, sem utilização de modalidade que imponha abertura indevida de código proprietário sem aprovação.</w:t>
      </w:r>
    </w:p>
    <w:p>
      <w:pPr>
        <w:keepLines w:val="0"/>
        <w:widowControl/>
        <w:jc w:val="both"/>
      </w:pPr>
      <w:r>
        <w:rPr>
          <w:b/>
        </w:rPr>
        <w:t xml:space="preserve">12.4. </w:t>
      </w:r>
      <w:r>
        <w:t>O uso de nomes, marcas, casos, depoimentos ou resultados para publicidade dependerá de autorização prévia e específica, revogável para usos futuros.</w:t>
      </w:r>
    </w:p>
    <w:p>
      <w:pPr>
        <w:pStyle w:val="Heading1"/>
        <w:keepNext/>
        <w:spacing w:before="120" w:after="40"/>
      </w:pPr>
      <w:r>
        <w:t>CLÁUSULA 13 - SUBCONTRATAÇÃO, PESSOAL E AUSÊNCIA DE VÍNCULO</w:t>
      </w:r>
    </w:p>
    <w:p>
      <w:pPr>
        <w:keepLines w:val="0"/>
        <w:widowControl/>
        <w:jc w:val="both"/>
      </w:pPr>
      <w:r>
        <w:rPr>
          <w:b/>
        </w:rPr>
        <w:t xml:space="preserve">13.1. </w:t>
      </w:r>
      <w:r>
        <w:t>A subcontratação de atividades não essenciais poderá ocorrer sob responsabilidade integral da Parte contratante do terceiro. Atividades críticas, acesso sensível, responsabilidade técnica ou tratamento relevante de dados dependerão de comunicação ou aprovação conforme o Anexo I.</w:t>
      </w:r>
    </w:p>
    <w:p>
      <w:pPr>
        <w:keepLines w:val="0"/>
        <w:widowControl/>
        <w:jc w:val="both"/>
      </w:pPr>
      <w:r>
        <w:rPr>
          <w:b/>
        </w:rPr>
        <w:t xml:space="preserve">13.2. </w:t>
      </w:r>
      <w:r>
        <w:t>Cada Parte dirigirá seus próprios empregados e prestadores, assumindo obrigações trabalhistas, previdenciárias, fiscais e de segurança do trabalho. Não haverá subordinação direta, pessoalidade imposta ou controle de jornada pela outra Parte.</w:t>
      </w:r>
    </w:p>
    <w:p>
      <w:pPr>
        <w:keepLines w:val="0"/>
        <w:widowControl/>
        <w:jc w:val="both"/>
      </w:pPr>
      <w:r>
        <w:rPr>
          <w:b/>
        </w:rPr>
        <w:t xml:space="preserve">13.3. </w:t>
      </w:r>
      <w:r>
        <w:t>A cooperação operacional, definição de requisitos, regras de acesso e fiscalização de resultados não caracterizam sociedade, mandato, representação, vínculo empregatício ou solidariedade, salvo imposição legal decorrente de fatos concretos.</w:t>
      </w:r>
    </w:p>
    <w:p>
      <w:pPr>
        <w:pStyle w:val="Heading1"/>
        <w:keepNext/>
        <w:spacing w:before="120" w:after="40"/>
      </w:pPr>
      <w:r>
        <w:t>CLÁUSULA 14 - COMPLIANCE, INTEGRIDADE E CONFLITOS DE INTERESSE</w:t>
      </w:r>
    </w:p>
    <w:p>
      <w:pPr>
        <w:keepLines w:val="0"/>
        <w:widowControl/>
        <w:jc w:val="both"/>
      </w:pPr>
      <w:r>
        <w:rPr>
          <w:b/>
        </w:rPr>
        <w:t xml:space="preserve">14.1. </w:t>
      </w:r>
      <w:r>
        <w:t>As Partes observarão a legislação anticorrupção, concorrencial, de prevenção à lavagem de dinheiro, sanções econômicas e normas setoriais aplicáveis, mantendo registros adequados e vedando pagamentos, vantagens ou promessas indevidas.</w:t>
      </w:r>
    </w:p>
    <w:p>
      <w:pPr>
        <w:keepLines w:val="0"/>
        <w:widowControl/>
        <w:jc w:val="both"/>
      </w:pPr>
      <w:r>
        <w:rPr>
          <w:b/>
        </w:rPr>
        <w:t xml:space="preserve">14.2. </w:t>
      </w:r>
      <w:r>
        <w:t>Conflitos de interesse reais ou potenciais que possam afetar a independência da execução serão comunicados. A Parte afetada poderá exigir plano de mitigação, segregação de equipes, substituição de profissional ou, se material e insanável, rescisão sem penalidade.</w:t>
      </w:r>
    </w:p>
    <w:p>
      <w:pPr>
        <w:keepLines w:val="0"/>
        <w:widowControl/>
        <w:jc w:val="both"/>
      </w:pPr>
      <w:r>
        <w:rPr>
          <w:b/>
        </w:rPr>
        <w:t xml:space="preserve">14.3. </w:t>
      </w:r>
      <w:r>
        <w:t>Auditorias de compliance serão proporcionais ao risco, mediante aviso razoável, proteção de segredos e dados de terceiros, limitação ao objeto e responsabilidade do solicitante pelos custos, salvo constatação de violação material.</w:t>
      </w:r>
    </w:p>
    <w:p>
      <w:pPr>
        <w:pStyle w:val="Heading1"/>
        <w:keepNext/>
        <w:spacing w:before="120" w:after="40"/>
      </w:pPr>
      <w:r>
        <w:t>CLÁUSULA 15 - DECLARAÇÕES, GARANTIAS E DEVER DE MITIGAÇÃO</w:t>
      </w:r>
    </w:p>
    <w:p>
      <w:pPr>
        <w:keepLines w:val="0"/>
        <w:widowControl/>
        <w:jc w:val="both"/>
      </w:pPr>
      <w:r>
        <w:rPr>
          <w:b/>
        </w:rPr>
        <w:t xml:space="preserve">15.1. </w:t>
      </w:r>
      <w:r>
        <w:t>Cada Parte declara possuir poderes, autorizações e recursos necessários para contratar e cumprir suas obrigações, bem como que sua execução não viola compromissos conhecidos com terceiros.</w:t>
      </w:r>
    </w:p>
    <w:p>
      <w:pPr>
        <w:keepLines w:val="0"/>
        <w:widowControl/>
        <w:jc w:val="both"/>
      </w:pPr>
      <w:r>
        <w:rPr>
          <w:b/>
        </w:rPr>
        <w:t xml:space="preserve">15.2. </w:t>
      </w:r>
      <w:r>
        <w:t>Garantias de desempenho limitar-se-ão aos critérios expressos, não abrangendo resultados dependentes de decisões, dados, infraestrutura, mercado ou terceiros fora do controle razoável da Parte obrigada.</w:t>
      </w:r>
    </w:p>
    <w:p>
      <w:pPr>
        <w:keepLines w:val="0"/>
        <w:widowControl/>
        <w:jc w:val="both"/>
      </w:pPr>
      <w:r>
        <w:rPr>
          <w:b/>
        </w:rPr>
        <w:t xml:space="preserve">15.3. </w:t>
      </w:r>
      <w:r>
        <w:t>A Parte que identificar risco de dano adotará medidas razoáveis para mitigá-lo e comunicará a outra. Nenhuma Parte poderá ampliar prejuízo de forma evitável para posterior transferência integral do custo.</w:t>
      </w:r>
    </w:p>
    <w:p>
      <w:pPr>
        <w:pStyle w:val="Heading1"/>
        <w:keepNext/>
        <w:spacing w:before="120" w:after="40"/>
      </w:pPr>
      <w:r>
        <w:t>CLÁUSULA 16 - RESPONSABILIDADE, INDENIZAÇÃO E LIMITAÇÃO DE DANOS</w:t>
      </w:r>
    </w:p>
    <w:p>
      <w:pPr>
        <w:keepLines w:val="0"/>
        <w:widowControl/>
        <w:jc w:val="both"/>
      </w:pPr>
      <w:r>
        <w:rPr>
          <w:b/>
        </w:rPr>
        <w:t xml:space="preserve">16.1. </w:t>
      </w:r>
      <w:r>
        <w:t>Cada Parte responderá pelos danos diretos comprovados que causar por descumprimento contratual, culpa ou dolo, observados o nexo causal, a contribuição da parte prejudicada, o dever de mitigação e as limitações legalmente admitidas.</w:t>
      </w:r>
    </w:p>
    <w:p>
      <w:pPr>
        <w:keepLines w:val="0"/>
        <w:widowControl/>
        <w:jc w:val="both"/>
      </w:pPr>
      <w:r>
        <w:rPr>
          <w:b/>
        </w:rPr>
        <w:t xml:space="preserve">16.2. </w:t>
      </w:r>
      <w:r>
        <w:t>Salvo valor diverso no Anexo II, a responsabilidade agregada de cada Parte ficará limitada a {{CAP_DE_RESPONSABILIDADE}}, exceto por dolo, fraude, violação intencional de confidencialidade, infração de propriedade intelectual, obrigações de pagamento e hipóteses que não possam ser limitadas por lei.</w:t>
      </w:r>
    </w:p>
    <w:p>
      <w:pPr>
        <w:keepLines w:val="0"/>
        <w:widowControl/>
        <w:jc w:val="both"/>
      </w:pPr>
      <w:r>
        <w:rPr>
          <w:b/>
        </w:rPr>
        <w:t xml:space="preserve">16.3. </w:t>
      </w:r>
      <w:r>
        <w:t>Lucros cessantes, perda de oportunidade e danos indiretos somente serão indenizáveis quando diretos, previsíveis, adequadamente comprovados e não excluídos pelo Anexo II. Multas de terceiros não serão automaticamente transferidas sem demonstração de imputação e participação na defesa.</w:t>
      </w:r>
    </w:p>
    <w:p>
      <w:pPr>
        <w:keepLines w:val="0"/>
        <w:widowControl/>
        <w:jc w:val="both"/>
      </w:pPr>
      <w:r>
        <w:rPr>
          <w:b/>
        </w:rPr>
        <w:t xml:space="preserve">16.4. </w:t>
      </w:r>
      <w:r>
        <w:t>A Parte que pretender indenização notificará a outra, permitirá participação na defesa e não celebrará acordo que imponha obrigação à outra sem consentimento razoável, ressalvadas medidas urgentes para evitar dano maior.</w:t>
      </w:r>
    </w:p>
    <w:p>
      <w:pPr>
        <w:pStyle w:val="Heading1"/>
        <w:keepNext/>
        <w:spacing w:before="120" w:after="40"/>
      </w:pPr>
      <w:r>
        <w:t>CLÁUSULA 17 - SEGUROS, CONTINUIDADE E FORÇA MAIOR</w:t>
      </w:r>
    </w:p>
    <w:p>
      <w:pPr>
        <w:keepLines w:val="0"/>
        <w:widowControl/>
        <w:jc w:val="both"/>
      </w:pPr>
      <w:r>
        <w:rPr>
          <w:b/>
        </w:rPr>
        <w:t xml:space="preserve">17.1. </w:t>
      </w:r>
      <w:r>
        <w:t>Quando compatível com o risco, cada Parte manterá seguros indicados no Anexo II, sem que a apólice limite a responsabilidade contratual nem crie obrigação de cobertura inexistente.</w:t>
      </w:r>
    </w:p>
    <w:p>
      <w:pPr>
        <w:keepLines w:val="0"/>
        <w:widowControl/>
        <w:jc w:val="both"/>
      </w:pPr>
      <w:r>
        <w:rPr>
          <w:b/>
        </w:rPr>
        <w:t xml:space="preserve">17.2. </w:t>
      </w:r>
      <w:r>
        <w:t>Eventos fora do controle razoável suspenderão as obrigações diretamente afetadas pelo período necessário, desde que a Parte comunique, mitigue impactos e mantenha as obrigações não afetadas. Falta de recursos financeiros, falha previsível de fornecedor ou ausência de plano mínimo não configuram força maior por si sós.</w:t>
      </w:r>
    </w:p>
    <w:p>
      <w:pPr>
        <w:keepLines w:val="0"/>
        <w:widowControl/>
        <w:jc w:val="both"/>
      </w:pPr>
      <w:r>
        <w:rPr>
          <w:b/>
        </w:rPr>
        <w:t xml:space="preserve">17.3. </w:t>
      </w:r>
      <w:r>
        <w:t>Se o evento impedir parte essencial do objeto por mais de {{PRAZO_FORCA_MAIOR}} dias, qualquer Parte poderá rescindir a parcela afetada sem multa, preservados pagamentos e entregas já vencidos.</w:t>
      </w:r>
    </w:p>
    <w:p>
      <w:pPr>
        <w:pStyle w:val="Heading1"/>
        <w:keepNext/>
        <w:spacing w:before="120" w:after="40"/>
      </w:pPr>
      <w:r>
        <w:t>CLÁUSULA 18 - VIGÊNCIA, SUSPENSÃO, RESCISÃO E TRANSIÇÃO</w:t>
      </w:r>
    </w:p>
    <w:p>
      <w:pPr>
        <w:keepLines w:val="0"/>
        <w:widowControl/>
        <w:jc w:val="both"/>
      </w:pPr>
      <w:r>
        <w:rPr>
          <w:b/>
        </w:rPr>
        <w:t xml:space="preserve">18.1. </w:t>
      </w:r>
      <w:r>
        <w:t>O Contrato vigorará pelo prazo do quadro-resumo, podendo ser renovado por acordo ou automaticamente quando expressamente indicado. A denúncia imotivada observará aviso prévio e eventuais custos de desmobilização objetiva e previamente definidos.</w:t>
      </w:r>
    </w:p>
    <w:p>
      <w:pPr>
        <w:keepLines w:val="0"/>
        <w:widowControl/>
        <w:jc w:val="both"/>
      </w:pPr>
      <w:r>
        <w:rPr>
          <w:b/>
        </w:rPr>
        <w:t xml:space="preserve">18.2. </w:t>
      </w:r>
      <w:r>
        <w:t>O inadimplemento material poderá ensejar rescisão se não sanado em {{PRAZO_CURA}} dias após notificação. Poderá haver rescisão imediata por fraude, corrupção, violação grave de confidencialidade, ilicitude do objeto, insolvência com impacto material ou risco urgente não mitigável.</w:t>
      </w:r>
    </w:p>
    <w:p>
      <w:pPr>
        <w:keepLines w:val="0"/>
        <w:widowControl/>
        <w:jc w:val="both"/>
      </w:pPr>
      <w:r>
        <w:rPr>
          <w:b/>
        </w:rPr>
        <w:t xml:space="preserve">18.3. </w:t>
      </w:r>
      <w:r>
        <w:t>Suspensão somente alcançará a obrigação afetada e dependerá, quando possível, de notificação e prazo de cura. Serviços essenciais, dados, evidências, acesso para portabilidade e medidas de segurança não poderão ser retidos de forma abusiva.</w:t>
      </w:r>
    </w:p>
    <w:p>
      <w:pPr>
        <w:keepLines w:val="0"/>
        <w:widowControl/>
        <w:jc w:val="both"/>
      </w:pPr>
      <w:r>
        <w:rPr>
          <w:b/>
        </w:rPr>
        <w:t xml:space="preserve">18.4. </w:t>
      </w:r>
      <w:r>
        <w:t>No encerramento, as Partes cooperarão por {{PRAZO_TRANSICAO}} dias para transição ordenada, devolução de bens, acerto financeiro, entrega de dados, revogação de acessos e continuidade mínima, mediante remuneração quando houver esforço adicional não incluído.</w:t>
      </w:r>
    </w:p>
    <w:p>
      <w:pPr>
        <w:pStyle w:val="Heading1"/>
        <w:keepNext/>
        <w:spacing w:before="120" w:after="40"/>
      </w:pPr>
      <w:r>
        <w:t>CLÁUSULA 19 - COMUNICAÇÕES E EVIDÊNCIAS</w:t>
      </w:r>
    </w:p>
    <w:p>
      <w:pPr>
        <w:keepLines w:val="0"/>
        <w:widowControl/>
        <w:jc w:val="both"/>
      </w:pPr>
      <w:r>
        <w:rPr>
          <w:b/>
        </w:rPr>
        <w:t xml:space="preserve">19.1. </w:t>
      </w:r>
      <w:r>
        <w:t>Notificações contratuais serão enviadas aos endereços e e-mails do quadro-resumo, considerando-se recebidas na confirmação de entrega ou no primeiro dia útil seguinte ao envio sem mensagem de erro.</w:t>
      </w:r>
    </w:p>
    <w:p>
      <w:pPr>
        <w:keepLines w:val="0"/>
        <w:widowControl/>
        <w:jc w:val="both"/>
      </w:pPr>
      <w:r>
        <w:rPr>
          <w:b/>
        </w:rPr>
        <w:t xml:space="preserve">19.2. </w:t>
      </w:r>
      <w:r>
        <w:t>Registros de sistemas, tickets, atas, e-mails, logs, comprovantes de entrega, relatórios e assinaturas eletrônicas poderão constituir evidência, respeitados autenticidade, integridade, contexto e possibilidade de contraditório.</w:t>
      </w:r>
    </w:p>
    <w:p>
      <w:pPr>
        <w:keepLines w:val="0"/>
        <w:widowControl/>
        <w:jc w:val="both"/>
      </w:pPr>
      <w:r>
        <w:rPr>
          <w:b/>
        </w:rPr>
        <w:t xml:space="preserve">19.3. </w:t>
      </w:r>
      <w:r>
        <w:t>Mudança de contato deverá ser informada com antecedência. A omissão não poderá ser usada para invalidar comunicação regularmente enviada ao endereço anteriormente indicado.</w:t>
      </w:r>
    </w:p>
    <w:p>
      <w:pPr>
        <w:pStyle w:val="Heading1"/>
        <w:keepNext/>
        <w:spacing w:before="120" w:after="40"/>
      </w:pPr>
      <w:r>
        <w:t>CLÁUSULA 20 - DISPOSIÇÕES GERAIS</w:t>
      </w:r>
    </w:p>
    <w:p>
      <w:pPr>
        <w:keepLines w:val="0"/>
        <w:widowControl/>
        <w:jc w:val="both"/>
      </w:pPr>
      <w:r>
        <w:rPr>
          <w:b/>
        </w:rPr>
        <w:t xml:space="preserve">20.1. </w:t>
      </w:r>
      <w:r>
        <w:t>Este Contrato representa o entendimento integral sobre seu objeto e substitui negociações anteriores, sem afastar obrigações autônomas de confidencialidade ou propriedade intelectual expressamente preservadas.</w:t>
      </w:r>
    </w:p>
    <w:p>
      <w:pPr>
        <w:keepLines w:val="0"/>
        <w:widowControl/>
        <w:jc w:val="both"/>
      </w:pPr>
      <w:r>
        <w:rPr>
          <w:b/>
        </w:rPr>
        <w:t xml:space="preserve">20.2. </w:t>
      </w:r>
      <w:r>
        <w:t>A invalidade de uma disposição não afetará as demais; as Partes a substituirão por regra válida que preserve, na maior medida possível, a finalidade econômica e a distribuição de riscos.</w:t>
      </w:r>
    </w:p>
    <w:p>
      <w:pPr>
        <w:keepLines w:val="0"/>
        <w:widowControl/>
        <w:jc w:val="both"/>
      </w:pPr>
      <w:r>
        <w:rPr>
          <w:b/>
        </w:rPr>
        <w:t xml:space="preserve">20.3. </w:t>
      </w:r>
      <w:r>
        <w:t>A cessão do Contrato dependerá de anuência prévia, que não será injustificadamente recusada, exceto para afiliada ou reorganização sem redução material de capacidade, mediante comunicação e permanência da responsabilidade quando necessário.</w:t>
      </w:r>
    </w:p>
    <w:p>
      <w:pPr>
        <w:keepLines w:val="0"/>
        <w:widowControl/>
        <w:jc w:val="both"/>
      </w:pPr>
      <w:r>
        <w:rPr>
          <w:b/>
        </w:rPr>
        <w:t xml:space="preserve">20.4. </w:t>
      </w:r>
      <w:r>
        <w:t>A tolerância não implica renúncia. Alterações exigem instrumento escrito. Não há exclusividade, não concorrência, preferência ou obrigação mínima além das expressamente previstas e proporcionalmente delimitadas.</w:t>
      </w:r>
    </w:p>
    <w:p>
      <w:pPr>
        <w:pStyle w:val="Heading1"/>
        <w:keepNext/>
        <w:spacing w:before="120" w:after="40"/>
      </w:pPr>
      <w:r>
        <w:t>CLÁUSULA 21 - LEI APLICÁVEL E FORO</w:t>
      </w:r>
    </w:p>
    <w:p>
      <w:pPr>
        <w:keepLines w:val="0"/>
        <w:widowControl/>
        <w:jc w:val="both"/>
      </w:pPr>
      <w:r>
        <w:rPr>
          <w:b/>
        </w:rPr>
        <w:t xml:space="preserve">21.1. </w:t>
      </w:r>
      <w:r>
        <w:t>O Contrato será regido pelas leis da República Federativa do Brasil, especialmente pelas normas civis, empresariais e especiais aplicáveis ao objeto.</w:t>
      </w:r>
    </w:p>
    <w:p>
      <w:pPr>
        <w:keepLines w:val="0"/>
        <w:widowControl/>
        <w:jc w:val="both"/>
      </w:pPr>
      <w:r>
        <w:rPr>
          <w:b/>
        </w:rPr>
        <w:t xml:space="preserve">21.2. </w:t>
      </w:r>
      <w:r>
        <w:t>As Partes buscarão solução negocial por, no mínimo, 15 dias contados da notificação detalhada da controvérsia, salvo urgência ou risco de prescrição.</w:t>
      </w:r>
    </w:p>
    <w:p>
      <w:pPr>
        <w:keepLines w:val="0"/>
        <w:widowControl/>
        <w:jc w:val="both"/>
      </w:pPr>
      <w:r>
        <w:rPr>
          <w:b/>
        </w:rPr>
        <w:t xml:space="preserve">21.3. </w:t>
      </w:r>
      <w:r>
        <w:t>Fica eleito o foro da Comarca de {{FORO}}, por guardar relação com as Partes ou a execução, com renúncia a outro apenas quando juridicamente admissível.</w:t>
      </w:r>
    </w:p>
    <w:p>
      <w:pPr>
        <w:pStyle w:val="Heading1"/>
        <w:keepNext/>
        <w:spacing w:before="120" w:after="40"/>
      </w:pPr>
      <w:r>
        <w:t>CLÁUSULA 22 - ASSINATURA ELETRÔNICA E FORMALIZAÇÃO</w:t>
      </w:r>
    </w:p>
    <w:p>
      <w:pPr>
        <w:keepLines w:val="0"/>
        <w:widowControl/>
        <w:jc w:val="both"/>
      </w:pPr>
      <w:r>
        <w:rPr>
          <w:b/>
        </w:rPr>
        <w:t xml:space="preserve">22.1. </w:t>
      </w:r>
      <w:r>
        <w:t>As Partes reconhecem a validade de assinaturas eletrônicas capazes de comprovar autoria, integridade e manifestação de vontade, inclusive por plataforma aceita pelas Partes, nos termos da Medida Provisória nº 2.200-2/2001 e legislação aplicável.</w:t>
      </w:r>
    </w:p>
    <w:p>
      <w:pPr>
        <w:keepLines w:val="0"/>
        <w:widowControl/>
        <w:jc w:val="both"/>
      </w:pPr>
      <w:r>
        <w:rPr>
          <w:b/>
        </w:rPr>
        <w:t xml:space="preserve">22.2. </w:t>
      </w:r>
      <w:r>
        <w:t>O instrumento poderá ser assinado em vias eletrônicas separadas, consideradas conjunto único. Os signatários declaram possuir poderes e ciência integral do conteúdo.</w:t>
      </w:r>
    </w:p>
    <w:p>
      <w:pPr>
        <w:keepLines w:val="0"/>
        <w:widowControl/>
        <w:jc w:val="both"/>
      </w:pPr>
      <w:r>
        <w:rPr>
          <w:b/>
        </w:rPr>
        <w:t xml:space="preserve">22.3. </w:t>
      </w:r>
      <w:r>
        <w:t>A validade do negócio não depende de testemunhas, salvo exigência legal específica. Para reforçar a executividade como título extrajudicial, as Partes poderão colher assinatura de 2 testemunhas ou adotar mecanismo juridicamente suficiente à natureza da obrigação.</w:t>
      </w:r>
    </w:p>
    <w:p>
      <w:pPr>
        <w:jc w:val="center"/>
      </w:pPr>
      <w:r>
        <w:rPr>
          <w:b/>
        </w:rPr>
        <w:t>E, por estarem de acordo, as Partes assinam o presente instrumento em {{LOCAL_ASSINATURA}}, {{DATA_ASSINATURA}}.</w:t>
      </w:r>
    </w:p>
    <w:tbl>
      <w:tblPr>
        <w:tblW w:type="auto" w:w="0"/>
        <w:jc w:val="center"/>
        <w:tblLayout w:type="fixed"/>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8"/>
              </w:rPr>
              <w:br/>
              <w:br/>
              <w:t>________________________________________</w:t>
            </w:r>
          </w:p>
        </w:tc>
        <w:tc>
          <w:tcPr>
            <w:tcW w:type="dxa" w:w="5100"/>
          </w:tcPr>
          <w:p>
            <w:pPr>
              <w:spacing w:after="0"/>
            </w:pPr>
            <w:r/>
            <w:r>
              <w:rPr>
                <w:rFonts w:ascii="Liberation Sans" w:hAnsi="Liberation Sans"/>
                <w:b w:val="0"/>
                <w:sz w:val="18"/>
              </w:rPr>
              <w:br/>
              <w:br/>
              <w:t>________________________________________</w:t>
            </w:r>
          </w:p>
        </w:tc>
      </w:tr>
      <w:tr>
        <w:tc>
          <w:tcPr>
            <w:tcW w:type="dxa" w:w="5100"/>
          </w:tcPr>
          <w:p>
            <w:pPr>
              <w:spacing w:after="0"/>
            </w:pPr>
            <w:r/>
            <w:r>
              <w:rPr>
                <w:rFonts w:ascii="Liberation Sans" w:hAnsi="Liberation Sans"/>
                <w:b/>
                <w:color w:val="102033"/>
                <w:sz w:val="17"/>
              </w:rPr>
              <w:t>{{PARTE_A_RAZAO_SOCIAL}}</w:t>
              <w:br/>
              <w:t>CLIENTE</w:t>
            </w:r>
          </w:p>
        </w:tc>
        <w:tc>
          <w:tcPr>
            <w:tcW w:type="dxa" w:w="5100"/>
          </w:tcPr>
          <w:p>
            <w:pPr>
              <w:spacing w:after="0"/>
            </w:pPr>
            <w:r/>
            <w:r>
              <w:rPr>
                <w:rFonts w:ascii="Liberation Sans" w:hAnsi="Liberation Sans"/>
                <w:b/>
                <w:color w:val="102033"/>
                <w:sz w:val="17"/>
              </w:rPr>
              <w:t>{{PARTE_B_RAZAO_SOCIAL}}</w:t>
              <w:br/>
              <w:t>DESENVOLVEDORA</w:t>
            </w:r>
          </w:p>
        </w:tc>
      </w:tr>
    </w:tbl>
    <w:tbl>
      <w:tblPr>
        <w:tblW w:type="auto" w:w="0"/>
        <w:jc w:val="center"/>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7"/>
              </w:rPr>
              <w:br/>
              <w:t>________________________________________</w:t>
            </w:r>
          </w:p>
        </w:tc>
        <w:tc>
          <w:tcPr>
            <w:tcW w:type="dxa" w:w="5100"/>
          </w:tcPr>
          <w:p>
            <w:pPr>
              <w:spacing w:after="0"/>
            </w:pPr>
            <w:r/>
            <w:r>
              <w:rPr>
                <w:rFonts w:ascii="Liberation Sans" w:hAnsi="Liberation Sans"/>
                <w:b w:val="0"/>
                <w:sz w:val="17"/>
              </w:rPr>
              <w:br/>
              <w:t>________________________________________</w:t>
            </w:r>
          </w:p>
        </w:tc>
      </w:tr>
      <w:tr>
        <w:tc>
          <w:tcPr>
            <w:tcW w:type="dxa" w:w="5100"/>
          </w:tcPr>
          <w:p>
            <w:pPr>
              <w:spacing w:after="0"/>
            </w:pPr>
            <w:r/>
            <w:r>
              <w:rPr>
                <w:rFonts w:ascii="Liberation Sans" w:hAnsi="Liberation Sans"/>
                <w:b w:val="0"/>
                <w:color w:val="64748B"/>
                <w:sz w:val="15"/>
              </w:rPr>
              <w:t>TESTEMUNHA 1</w:t>
              <w:br/>
              <w:t>Nome: {{TESTEMUNHA_1_NOME}}</w:t>
              <w:br/>
              <w:t>CPF: {{TESTEMUNHA_1_CPF}}</w:t>
            </w:r>
          </w:p>
        </w:tc>
        <w:tc>
          <w:tcPr>
            <w:tcW w:type="dxa" w:w="5100"/>
          </w:tcPr>
          <w:p>
            <w:pPr>
              <w:spacing w:after="0"/>
            </w:pPr>
            <w:r/>
            <w:r>
              <w:rPr>
                <w:rFonts w:ascii="Liberation Sans" w:hAnsi="Liberation Sans"/>
                <w:b w:val="0"/>
                <w:color w:val="64748B"/>
                <w:sz w:val="15"/>
              </w:rPr>
              <w:t>TESTEMUNHA 2</w:t>
              <w:br/>
              <w:t>Nome: {{TESTEMUNHA_2_NOME}}</w:t>
              <w:br/>
              <w:t>CPF: {{TESTEMUNHA_2_CPF}}</w:t>
            </w:r>
          </w:p>
        </w:tc>
      </w:tr>
    </w:tbl>
    <w:p>
      <w:r>
        <w:br w:type="page"/>
      </w:r>
    </w:p>
    <w:p>
      <w:pPr>
        <w:pStyle w:val="Heading1"/>
        <w:keepNext/>
        <w:pageBreakBefore w:val="0"/>
        <w:jc w:val="center"/>
      </w:pPr>
      <w:r>
        <w:t>ANEXO I - ESCOPO, PREMISSAS E RESPONSABILIDADES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Item</w:t>
            </w:r>
          </w:p>
        </w:tc>
        <w:tc>
          <w:tcPr>
            <w:tcW w:type="dxa" w:w="2550"/>
            <w:shd w:fill="EAF1F8"/>
          </w:tcPr>
          <w:p>
            <w:pPr>
              <w:spacing w:after="0"/>
            </w:pPr>
            <w:r/>
            <w:r>
              <w:rPr>
                <w:rFonts w:ascii="Liberation Sans" w:hAnsi="Liberation Sans"/>
                <w:b/>
                <w:color w:val="102033"/>
                <w:sz w:val="15"/>
              </w:rPr>
              <w:t>Descrição</w:t>
            </w:r>
          </w:p>
        </w:tc>
        <w:tc>
          <w:tcPr>
            <w:tcW w:type="dxa" w:w="2550"/>
            <w:shd w:fill="EAF1F8"/>
          </w:tcPr>
          <w:p>
            <w:pPr>
              <w:spacing w:after="0"/>
            </w:pPr>
            <w:r/>
            <w:r>
              <w:rPr>
                <w:rFonts w:ascii="Liberation Sans" w:hAnsi="Liberation Sans"/>
                <w:b/>
                <w:color w:val="102033"/>
                <w:sz w:val="15"/>
              </w:rPr>
              <w:t>Responsável</w:t>
            </w:r>
          </w:p>
        </w:tc>
        <w:tc>
          <w:tcPr>
            <w:tcW w:type="dxa" w:w="2550"/>
            <w:shd w:fill="EAF1F8"/>
          </w:tcPr>
          <w:p>
            <w:pPr>
              <w:spacing w:after="0"/>
            </w:pPr>
            <w:r/>
            <w:r>
              <w:rPr>
                <w:rFonts w:ascii="Liberation Sans" w:hAnsi="Liberation Sans"/>
                <w:b/>
                <w:color w:val="102033"/>
                <w:sz w:val="15"/>
              </w:rPr>
              <w:t>Prazo/Critério</w:t>
            </w:r>
          </w:p>
        </w:tc>
      </w:tr>
      <w:tr>
        <w:tc>
          <w:tcPr>
            <w:tcW w:type="dxa" w:w="2550"/>
          </w:tcPr>
          <w:p>
            <w:pPr>
              <w:spacing w:after="0"/>
            </w:pPr>
            <w:r/>
            <w:r>
              <w:rPr>
                <w:rFonts w:ascii="Liberation Sans" w:hAnsi="Liberation Sans"/>
                <w:b w:val="0"/>
                <w:color w:val="374151"/>
                <w:sz w:val="15"/>
              </w:rPr>
              <w:t>Escopo principal</w:t>
            </w:r>
          </w:p>
        </w:tc>
        <w:tc>
          <w:tcPr>
            <w:tcW w:type="dxa" w:w="2550"/>
          </w:tcPr>
          <w:p>
            <w:pPr>
              <w:spacing w:after="0"/>
            </w:pPr>
            <w:r/>
            <w:r>
              <w:rPr>
                <w:rFonts w:ascii="Liberation Sans" w:hAnsi="Liberation Sans"/>
                <w:b w:val="0"/>
                <w:color w:val="374151"/>
                <w:sz w:val="15"/>
              </w:rPr>
              <w:t>{{ESCOPO_DETALHADO}}</w:t>
            </w:r>
          </w:p>
        </w:tc>
        <w:tc>
          <w:tcPr>
            <w:tcW w:type="dxa" w:w="2550"/>
          </w:tcPr>
          <w:p>
            <w:pPr>
              <w:spacing w:after="0"/>
            </w:pPr>
            <w:r/>
            <w:r>
              <w:rPr>
                <w:rFonts w:ascii="Liberation Sans" w:hAnsi="Liberation Sans"/>
                <w:b w:val="0"/>
                <w:color w:val="374151"/>
                <w:sz w:val="15"/>
              </w:rPr>
              <w:t>{{RESPONSAVEL}}</w:t>
            </w:r>
          </w:p>
        </w:tc>
        <w:tc>
          <w:tcPr>
            <w:tcW w:type="dxa" w:w="2550"/>
          </w:tcPr>
          <w:p>
            <w:pPr>
              <w:spacing w:after="0"/>
            </w:pPr>
            <w:r/>
            <w:r>
              <w:rPr>
                <w:rFonts w:ascii="Liberation Sans" w:hAnsi="Liberation Sans"/>
                <w:b w:val="0"/>
                <w:color w:val="374151"/>
                <w:sz w:val="15"/>
              </w:rPr>
              <w:t>{{PRAZO}}</w:t>
            </w:r>
          </w:p>
        </w:tc>
      </w:tr>
      <w:tr>
        <w:tc>
          <w:tcPr>
            <w:tcW w:type="dxa" w:w="2550"/>
          </w:tcPr>
          <w:p>
            <w:pPr>
              <w:spacing w:after="0"/>
            </w:pPr>
            <w:r/>
            <w:r>
              <w:rPr>
                <w:rFonts w:ascii="Liberation Sans" w:hAnsi="Liberation Sans"/>
                <w:b w:val="0"/>
                <w:color w:val="374151"/>
                <w:sz w:val="15"/>
              </w:rPr>
              <w:t>Exclusões</w:t>
            </w:r>
          </w:p>
        </w:tc>
        <w:tc>
          <w:tcPr>
            <w:tcW w:type="dxa" w:w="2550"/>
          </w:tcPr>
          <w:p>
            <w:pPr>
              <w:spacing w:after="0"/>
            </w:pPr>
            <w:r/>
            <w:r>
              <w:rPr>
                <w:rFonts w:ascii="Liberation Sans" w:hAnsi="Liberation Sans"/>
                <w:b w:val="0"/>
                <w:color w:val="374151"/>
                <w:sz w:val="15"/>
              </w:rPr>
              <w:t>{{EXCLUSOES}}</w:t>
            </w:r>
          </w:p>
        </w:tc>
        <w:tc>
          <w:tcPr>
            <w:tcW w:type="dxa" w:w="2550"/>
          </w:tcPr>
          <w:p>
            <w:pPr>
              <w:spacing w:after="0"/>
            </w:pPr>
            <w:r/>
            <w:r>
              <w:rPr>
                <w:rFonts w:ascii="Liberation Sans" w:hAnsi="Liberation Sans"/>
                <w:b w:val="0"/>
                <w:color w:val="374151"/>
                <w:sz w:val="15"/>
              </w:rPr>
              <w:t>Ambas</w:t>
            </w:r>
          </w:p>
        </w:tc>
        <w:tc>
          <w:tcPr>
            <w:tcW w:type="dxa" w:w="2550"/>
          </w:tcPr>
          <w:p>
            <w:pPr>
              <w:spacing w:after="0"/>
            </w:pPr>
            <w:r/>
            <w:r>
              <w:rPr>
                <w:rFonts w:ascii="Liberation Sans" w:hAnsi="Liberation Sans"/>
                <w:b w:val="0"/>
                <w:color w:val="374151"/>
                <w:sz w:val="15"/>
              </w:rPr>
              <w:t>N/A</w:t>
            </w:r>
          </w:p>
        </w:tc>
      </w:tr>
      <w:tr>
        <w:tc>
          <w:tcPr>
            <w:tcW w:type="dxa" w:w="2550"/>
          </w:tcPr>
          <w:p>
            <w:pPr>
              <w:spacing w:after="0"/>
            </w:pPr>
            <w:r/>
            <w:r>
              <w:rPr>
                <w:rFonts w:ascii="Liberation Sans" w:hAnsi="Liberation Sans"/>
                <w:b w:val="0"/>
                <w:color w:val="374151"/>
                <w:sz w:val="15"/>
              </w:rPr>
              <w:t>Dependências</w:t>
            </w:r>
          </w:p>
        </w:tc>
        <w:tc>
          <w:tcPr>
            <w:tcW w:type="dxa" w:w="2550"/>
          </w:tcPr>
          <w:p>
            <w:pPr>
              <w:spacing w:after="0"/>
            </w:pPr>
            <w:r/>
            <w:r>
              <w:rPr>
                <w:rFonts w:ascii="Liberation Sans" w:hAnsi="Liberation Sans"/>
                <w:b w:val="0"/>
                <w:color w:val="374151"/>
                <w:sz w:val="15"/>
              </w:rPr>
              <w:t>{{DEPENDENCIAS}}</w:t>
            </w:r>
          </w:p>
        </w:tc>
        <w:tc>
          <w:tcPr>
            <w:tcW w:type="dxa" w:w="2550"/>
          </w:tcPr>
          <w:p>
            <w:pPr>
              <w:spacing w:after="0"/>
            </w:pPr>
            <w:r/>
            <w:r>
              <w:rPr>
                <w:rFonts w:ascii="Liberation Sans" w:hAnsi="Liberation Sans"/>
                <w:b w:val="0"/>
                <w:color w:val="374151"/>
                <w:sz w:val="15"/>
              </w:rPr>
              <w:t>{{RESPONSAVEL_DEPENDENCIA}}</w:t>
            </w:r>
          </w:p>
        </w:tc>
        <w:tc>
          <w:tcPr>
            <w:tcW w:type="dxa" w:w="2550"/>
          </w:tcPr>
          <w:p>
            <w:pPr>
              <w:spacing w:after="0"/>
            </w:pPr>
            <w:r/>
            <w:r>
              <w:rPr>
                <w:rFonts w:ascii="Liberation Sans" w:hAnsi="Liberation Sans"/>
                <w:b w:val="0"/>
                <w:color w:val="374151"/>
                <w:sz w:val="15"/>
              </w:rPr>
              <w:t>{{DATA}}</w:t>
            </w:r>
          </w:p>
        </w:tc>
      </w:tr>
      <w:tr>
        <w:tc>
          <w:tcPr>
            <w:tcW w:type="dxa" w:w="2550"/>
          </w:tcPr>
          <w:p>
            <w:pPr>
              <w:spacing w:after="0"/>
            </w:pPr>
            <w:r/>
            <w:r>
              <w:rPr>
                <w:rFonts w:ascii="Liberation Sans" w:hAnsi="Liberation Sans"/>
                <w:b w:val="0"/>
                <w:color w:val="374151"/>
                <w:sz w:val="15"/>
              </w:rPr>
              <w:t>Profissionais-chave</w:t>
            </w:r>
          </w:p>
        </w:tc>
        <w:tc>
          <w:tcPr>
            <w:tcW w:type="dxa" w:w="2550"/>
          </w:tcPr>
          <w:p>
            <w:pPr>
              <w:spacing w:after="0"/>
            </w:pPr>
            <w:r/>
            <w:r>
              <w:rPr>
                <w:rFonts w:ascii="Liberation Sans" w:hAnsi="Liberation Sans"/>
                <w:b w:val="0"/>
                <w:color w:val="374151"/>
                <w:sz w:val="15"/>
              </w:rPr>
              <w:t>{{PROFISSIONAIS_CHAVE}}</w:t>
            </w:r>
          </w:p>
        </w:tc>
        <w:tc>
          <w:tcPr>
            <w:tcW w:type="dxa" w:w="2550"/>
          </w:tcPr>
          <w:p>
            <w:pPr>
              <w:spacing w:after="0"/>
            </w:pPr>
            <w:r/>
            <w:r>
              <w:rPr>
                <w:rFonts w:ascii="Liberation Sans" w:hAnsi="Liberation Sans"/>
                <w:b w:val="0"/>
                <w:color w:val="374151"/>
                <w:sz w:val="15"/>
              </w:rPr>
              <w:t>{{PARTE}}</w:t>
            </w:r>
          </w:p>
        </w:tc>
        <w:tc>
          <w:tcPr>
            <w:tcW w:type="dxa" w:w="2550"/>
          </w:tcPr>
          <w:p>
            <w:pPr>
              <w:spacing w:after="0"/>
            </w:pPr>
            <w:r/>
            <w:r>
              <w:rPr>
                <w:rFonts w:ascii="Liberation Sans" w:hAnsi="Liberation Sans"/>
                <w:b w:val="0"/>
                <w:color w:val="374151"/>
                <w:sz w:val="15"/>
              </w:rPr>
              <w:t>Durante a vigência</w:t>
            </w:r>
          </w:p>
        </w:tc>
      </w:tr>
    </w:tbl>
    <w:p>
      <w:pPr>
        <w:pStyle w:val="Heading1"/>
        <w:keepNext/>
        <w:pageBreakBefore w:val="0"/>
        <w:jc w:val="center"/>
      </w:pPr>
      <w:r>
        <w:t>ANEXO II - CONDIÇÕES COMERCIAIS E MATRIZ DE RISCOS</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Condição</w:t>
            </w:r>
          </w:p>
        </w:tc>
      </w:tr>
      <w:tr>
        <w:tc>
          <w:tcPr>
            <w:tcW w:type="dxa" w:w="5100"/>
          </w:tcPr>
          <w:p>
            <w:pPr>
              <w:spacing w:after="0"/>
            </w:pPr>
            <w:r/>
            <w:r>
              <w:rPr>
                <w:rFonts w:ascii="Liberation Sans" w:hAnsi="Liberation Sans"/>
                <w:b w:val="0"/>
                <w:color w:val="374151"/>
                <w:sz w:val="15"/>
              </w:rPr>
              <w:t>Preço/remuneração</w:t>
            </w:r>
          </w:p>
        </w:tc>
        <w:tc>
          <w:tcPr>
            <w:tcW w:type="dxa" w:w="5100"/>
          </w:tcPr>
          <w:p>
            <w:pPr>
              <w:spacing w:after="0"/>
            </w:pPr>
            <w:r/>
            <w:r>
              <w:rPr>
                <w:rFonts w:ascii="Liberation Sans" w:hAnsi="Liberation Sans"/>
                <w:b w:val="0"/>
                <w:color w:val="374151"/>
                <w:sz w:val="15"/>
              </w:rPr>
              <w:t>{{VALOR}}</w:t>
            </w:r>
          </w:p>
        </w:tc>
      </w:tr>
      <w:tr>
        <w:tc>
          <w:tcPr>
            <w:tcW w:type="dxa" w:w="5100"/>
          </w:tcPr>
          <w:p>
            <w:pPr>
              <w:spacing w:after="0"/>
            </w:pPr>
            <w:r/>
            <w:r>
              <w:rPr>
                <w:rFonts w:ascii="Liberation Sans" w:hAnsi="Liberation Sans"/>
                <w:b w:val="0"/>
                <w:color w:val="374151"/>
                <w:sz w:val="15"/>
              </w:rPr>
              <w:t>Faturamento</w:t>
            </w:r>
          </w:p>
        </w:tc>
        <w:tc>
          <w:tcPr>
            <w:tcW w:type="dxa" w:w="5100"/>
          </w:tcPr>
          <w:p>
            <w:pPr>
              <w:spacing w:after="0"/>
            </w:pPr>
            <w:r/>
            <w:r>
              <w:rPr>
                <w:rFonts w:ascii="Liberation Sans" w:hAnsi="Liberation Sans"/>
                <w:b w:val="0"/>
                <w:color w:val="374151"/>
                <w:sz w:val="15"/>
              </w:rPr>
              <w:t>{{MARCO_DE_FATURAMENTO}}</w:t>
            </w:r>
          </w:p>
        </w:tc>
      </w:tr>
      <w:tr>
        <w:tc>
          <w:tcPr>
            <w:tcW w:type="dxa" w:w="5100"/>
          </w:tcPr>
          <w:p>
            <w:pPr>
              <w:spacing w:after="0"/>
            </w:pPr>
            <w:r/>
            <w:r>
              <w:rPr>
                <w:rFonts w:ascii="Liberation Sans" w:hAnsi="Liberation Sans"/>
                <w:b w:val="0"/>
                <w:color w:val="374151"/>
                <w:sz w:val="15"/>
              </w:rPr>
              <w:t>Pagamento</w:t>
            </w:r>
          </w:p>
        </w:tc>
        <w:tc>
          <w:tcPr>
            <w:tcW w:type="dxa" w:w="5100"/>
          </w:tcPr>
          <w:p>
            <w:pPr>
              <w:spacing w:after="0"/>
            </w:pPr>
            <w:r/>
            <w:r>
              <w:rPr>
                <w:rFonts w:ascii="Liberation Sans" w:hAnsi="Liberation Sans"/>
                <w:b w:val="0"/>
                <w:color w:val="374151"/>
                <w:sz w:val="15"/>
              </w:rPr>
              <w:t>{{PRAZO_PAGAMENTO}}</w:t>
            </w:r>
          </w:p>
        </w:tc>
      </w:tr>
      <w:tr>
        <w:tc>
          <w:tcPr>
            <w:tcW w:type="dxa" w:w="5100"/>
          </w:tcPr>
          <w:p>
            <w:pPr>
              <w:spacing w:after="0"/>
            </w:pPr>
            <w:r/>
            <w:r>
              <w:rPr>
                <w:rFonts w:ascii="Liberation Sans" w:hAnsi="Liberation Sans"/>
                <w:b w:val="0"/>
                <w:color w:val="374151"/>
                <w:sz w:val="15"/>
              </w:rPr>
              <w:t>Reajuste</w:t>
            </w:r>
          </w:p>
        </w:tc>
        <w:tc>
          <w:tcPr>
            <w:tcW w:type="dxa" w:w="5100"/>
          </w:tcPr>
          <w:p>
            <w:pPr>
              <w:spacing w:after="0"/>
            </w:pPr>
            <w:r/>
            <w:r>
              <w:rPr>
                <w:rFonts w:ascii="Liberation Sans" w:hAnsi="Liberation Sans"/>
                <w:b w:val="0"/>
                <w:color w:val="374151"/>
                <w:sz w:val="15"/>
              </w:rPr>
              <w:t>{{INDICE_REAJUSTE}}</w:t>
            </w:r>
          </w:p>
        </w:tc>
      </w:tr>
      <w:tr>
        <w:tc>
          <w:tcPr>
            <w:tcW w:type="dxa" w:w="5100"/>
          </w:tcPr>
          <w:p>
            <w:pPr>
              <w:spacing w:after="0"/>
            </w:pPr>
            <w:r/>
            <w:r>
              <w:rPr>
                <w:rFonts w:ascii="Liberation Sans" w:hAnsi="Liberation Sans"/>
                <w:b w:val="0"/>
                <w:color w:val="374151"/>
                <w:sz w:val="15"/>
              </w:rPr>
              <w:t>Despesas</w:t>
            </w:r>
          </w:p>
        </w:tc>
        <w:tc>
          <w:tcPr>
            <w:tcW w:type="dxa" w:w="5100"/>
          </w:tcPr>
          <w:p>
            <w:pPr>
              <w:spacing w:after="0"/>
            </w:pPr>
            <w:r/>
            <w:r>
              <w:rPr>
                <w:rFonts w:ascii="Liberation Sans" w:hAnsi="Liberation Sans"/>
                <w:b w:val="0"/>
                <w:color w:val="374151"/>
                <w:sz w:val="15"/>
              </w:rPr>
              <w:t>{{POLITICA_DESPESAS}}</w:t>
            </w:r>
          </w:p>
        </w:tc>
      </w:tr>
      <w:tr>
        <w:tc>
          <w:tcPr>
            <w:tcW w:type="dxa" w:w="5100"/>
          </w:tcPr>
          <w:p>
            <w:pPr>
              <w:spacing w:after="0"/>
            </w:pPr>
            <w:r/>
            <w:r>
              <w:rPr>
                <w:rFonts w:ascii="Liberation Sans" w:hAnsi="Liberation Sans"/>
                <w:b w:val="0"/>
                <w:color w:val="374151"/>
                <w:sz w:val="15"/>
              </w:rPr>
              <w:t>Cap de responsabilidade</w:t>
            </w:r>
          </w:p>
        </w:tc>
        <w:tc>
          <w:tcPr>
            <w:tcW w:type="dxa" w:w="5100"/>
          </w:tcPr>
          <w:p>
            <w:pPr>
              <w:spacing w:after="0"/>
            </w:pPr>
            <w:r/>
            <w:r>
              <w:rPr>
                <w:rFonts w:ascii="Liberation Sans" w:hAnsi="Liberation Sans"/>
                <w:b w:val="0"/>
                <w:color w:val="374151"/>
                <w:sz w:val="15"/>
              </w:rPr>
              <w:t>{{CAP_DE_RESPONSABILIDADE}}</w:t>
            </w:r>
          </w:p>
        </w:tc>
      </w:tr>
      <w:tr>
        <w:tc>
          <w:tcPr>
            <w:tcW w:type="dxa" w:w="5100"/>
          </w:tcPr>
          <w:p>
            <w:pPr>
              <w:spacing w:after="0"/>
            </w:pPr>
            <w:r/>
            <w:r>
              <w:rPr>
                <w:rFonts w:ascii="Liberation Sans" w:hAnsi="Liberation Sans"/>
                <w:b w:val="0"/>
                <w:color w:val="374151"/>
                <w:sz w:val="15"/>
              </w:rPr>
              <w:t>Seguros</w:t>
            </w:r>
          </w:p>
        </w:tc>
        <w:tc>
          <w:tcPr>
            <w:tcW w:type="dxa" w:w="5100"/>
          </w:tcPr>
          <w:p>
            <w:pPr>
              <w:spacing w:after="0"/>
            </w:pPr>
            <w:r/>
            <w:r>
              <w:rPr>
                <w:rFonts w:ascii="Liberation Sans" w:hAnsi="Liberation Sans"/>
                <w:b w:val="0"/>
                <w:color w:val="374151"/>
                <w:sz w:val="15"/>
              </w:rPr>
              <w:t>{{SEGUROS_EXIGIDOS}}</w:t>
            </w:r>
          </w:p>
        </w:tc>
      </w:tr>
      <w:tr>
        <w:tc>
          <w:tcPr>
            <w:tcW w:type="dxa" w:w="5100"/>
          </w:tcPr>
          <w:p>
            <w:pPr>
              <w:spacing w:after="0"/>
            </w:pPr>
            <w:r/>
            <w:r>
              <w:rPr>
                <w:rFonts w:ascii="Liberation Sans" w:hAnsi="Liberation Sans"/>
                <w:b w:val="0"/>
                <w:color w:val="374151"/>
                <w:sz w:val="15"/>
              </w:rPr>
              <w:t>Aviso de rescisão</w:t>
            </w:r>
          </w:p>
        </w:tc>
        <w:tc>
          <w:tcPr>
            <w:tcW w:type="dxa" w:w="5100"/>
          </w:tcPr>
          <w:p>
            <w:pPr>
              <w:spacing w:after="0"/>
            </w:pPr>
            <w:r/>
            <w:r>
              <w:rPr>
                <w:rFonts w:ascii="Liberation Sans" w:hAnsi="Liberation Sans"/>
                <w:b w:val="0"/>
                <w:color w:val="374151"/>
                <w:sz w:val="15"/>
              </w:rPr>
              <w:t>{{AVISO_PREVIO}}</w:t>
            </w:r>
          </w:p>
        </w:tc>
      </w:tr>
    </w:tbl>
    <w:p>
      <w:pPr>
        <w:pStyle w:val="Heading1"/>
        <w:keepNext/>
        <w:pageBreakBefore w:val="0"/>
        <w:jc w:val="center"/>
      </w:pPr>
      <w:r>
        <w:t>ANEXO III - ACEITE, SLA E GOVERNANÇA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Indicador</w:t>
            </w:r>
          </w:p>
        </w:tc>
        <w:tc>
          <w:tcPr>
            <w:tcW w:type="dxa" w:w="2550"/>
            <w:shd w:fill="EAF1F8"/>
          </w:tcPr>
          <w:p>
            <w:pPr>
              <w:spacing w:after="0"/>
            </w:pPr>
            <w:r/>
            <w:r>
              <w:rPr>
                <w:rFonts w:ascii="Liberation Sans" w:hAnsi="Liberation Sans"/>
                <w:b/>
                <w:color w:val="102033"/>
                <w:sz w:val="15"/>
              </w:rPr>
              <w:t>Meta</w:t>
            </w:r>
          </w:p>
        </w:tc>
        <w:tc>
          <w:tcPr>
            <w:tcW w:type="dxa" w:w="2550"/>
            <w:shd w:fill="EAF1F8"/>
          </w:tcPr>
          <w:p>
            <w:pPr>
              <w:spacing w:after="0"/>
            </w:pPr>
            <w:r/>
            <w:r>
              <w:rPr>
                <w:rFonts w:ascii="Liberation Sans" w:hAnsi="Liberation Sans"/>
                <w:b/>
                <w:color w:val="102033"/>
                <w:sz w:val="15"/>
              </w:rPr>
              <w:t>Medição</w:t>
            </w:r>
          </w:p>
        </w:tc>
        <w:tc>
          <w:tcPr>
            <w:tcW w:type="dxa" w:w="2550"/>
            <w:shd w:fill="EAF1F8"/>
          </w:tcPr>
          <w:p>
            <w:pPr>
              <w:spacing w:after="0"/>
            </w:pPr>
            <w:r/>
            <w:r>
              <w:rPr>
                <w:rFonts w:ascii="Liberation Sans" w:hAnsi="Liberation Sans"/>
                <w:b/>
                <w:color w:val="102033"/>
                <w:sz w:val="15"/>
              </w:rPr>
              <w:t>Remédio</w:t>
            </w:r>
          </w:p>
        </w:tc>
      </w:tr>
      <w:tr>
        <w:tc>
          <w:tcPr>
            <w:tcW w:type="dxa" w:w="2550"/>
          </w:tcPr>
          <w:p>
            <w:pPr>
              <w:spacing w:after="0"/>
            </w:pPr>
            <w:r/>
            <w:r>
              <w:rPr>
                <w:rFonts w:ascii="Liberation Sans" w:hAnsi="Liberation Sans"/>
                <w:b w:val="0"/>
                <w:color w:val="374151"/>
                <w:sz w:val="15"/>
              </w:rPr>
              <w:t>Prazo de resposta</w:t>
            </w:r>
          </w:p>
        </w:tc>
        <w:tc>
          <w:tcPr>
            <w:tcW w:type="dxa" w:w="2550"/>
          </w:tcPr>
          <w:p>
            <w:pPr>
              <w:spacing w:after="0"/>
            </w:pPr>
            <w:r/>
            <w:r>
              <w:rPr>
                <w:rFonts w:ascii="Liberation Sans" w:hAnsi="Liberation Sans"/>
                <w:b w:val="0"/>
                <w:color w:val="374151"/>
                <w:sz w:val="15"/>
              </w:rPr>
              <w:t>{{META_RESPOSTA}}</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Prazo de solução</w:t>
            </w:r>
          </w:p>
        </w:tc>
        <w:tc>
          <w:tcPr>
            <w:tcW w:type="dxa" w:w="2550"/>
          </w:tcPr>
          <w:p>
            <w:pPr>
              <w:spacing w:after="0"/>
            </w:pPr>
            <w:r/>
            <w:r>
              <w:rPr>
                <w:rFonts w:ascii="Liberation Sans" w:hAnsi="Liberation Sans"/>
                <w:b w:val="0"/>
                <w:color w:val="374151"/>
                <w:sz w:val="15"/>
              </w:rPr>
              <w:t>{{META_SOLUCAO}}</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Disponibilidade/qualidade</w:t>
            </w:r>
          </w:p>
        </w:tc>
        <w:tc>
          <w:tcPr>
            <w:tcW w:type="dxa" w:w="2550"/>
          </w:tcPr>
          <w:p>
            <w:pPr>
              <w:spacing w:after="0"/>
            </w:pPr>
            <w:r/>
            <w:r>
              <w:rPr>
                <w:rFonts w:ascii="Liberation Sans" w:hAnsi="Liberation Sans"/>
                <w:b w:val="0"/>
                <w:color w:val="374151"/>
                <w:sz w:val="15"/>
              </w:rPr>
              <w:t>{{META_QUALIDADE}}</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Aceite de entrega</w:t>
            </w:r>
          </w:p>
        </w:tc>
        <w:tc>
          <w:tcPr>
            <w:tcW w:type="dxa" w:w="2550"/>
          </w:tcPr>
          <w:p>
            <w:pPr>
              <w:spacing w:after="0"/>
            </w:pPr>
            <w:r/>
            <w:r>
              <w:rPr>
                <w:rFonts w:ascii="Liberation Sans" w:hAnsi="Liberation Sans"/>
                <w:b w:val="0"/>
                <w:color w:val="374151"/>
                <w:sz w:val="15"/>
              </w:rPr>
              <w:t>{{CRITERIO_ACEITE}}</w:t>
            </w:r>
          </w:p>
        </w:tc>
        <w:tc>
          <w:tcPr>
            <w:tcW w:type="dxa" w:w="2550"/>
          </w:tcPr>
          <w:p>
            <w:pPr>
              <w:spacing w:after="0"/>
            </w:pPr>
            <w:r/>
            <w:r>
              <w:rPr>
                <w:rFonts w:ascii="Liberation Sans" w:hAnsi="Liberation Sans"/>
                <w:b w:val="0"/>
                <w:color w:val="374151"/>
                <w:sz w:val="15"/>
              </w:rPr>
              <w:t>Evidência objetiva</w:t>
            </w:r>
          </w:p>
        </w:tc>
        <w:tc>
          <w:tcPr>
            <w:tcW w:type="dxa" w:w="2550"/>
          </w:tcPr>
          <w:p>
            <w:pPr>
              <w:spacing w:after="0"/>
            </w:pPr>
            <w:r/>
            <w:r>
              <w:rPr>
                <w:rFonts w:ascii="Liberation Sans" w:hAnsi="Liberation Sans"/>
                <w:b w:val="0"/>
                <w:color w:val="374151"/>
                <w:sz w:val="15"/>
              </w:rPr>
              <w:t>Correção ou mudança de escopo</w:t>
            </w:r>
          </w:p>
        </w:tc>
      </w:tr>
    </w:tbl>
    <w:p>
      <w:pPr>
        <w:pStyle w:val="Heading1"/>
        <w:keepNext/>
        <w:pageBreakBefore w:val="0"/>
        <w:jc w:val="center"/>
      </w:pPr>
      <w:r>
        <w:t>ANEXO IV - DADOS PESSOAIS E SEGURANÇA</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Definição</w:t>
            </w:r>
          </w:p>
        </w:tc>
      </w:tr>
      <w:tr>
        <w:tc>
          <w:tcPr>
            <w:tcW w:type="dxa" w:w="5100"/>
          </w:tcPr>
          <w:p>
            <w:pPr>
              <w:spacing w:after="0"/>
            </w:pPr>
            <w:r/>
            <w:r>
              <w:rPr>
                <w:rFonts w:ascii="Liberation Sans" w:hAnsi="Liberation Sans"/>
                <w:b w:val="0"/>
                <w:color w:val="374151"/>
                <w:sz w:val="15"/>
              </w:rPr>
              <w:t>Papel da Parte A</w:t>
            </w:r>
          </w:p>
        </w:tc>
        <w:tc>
          <w:tcPr>
            <w:tcW w:type="dxa" w:w="5100"/>
          </w:tcPr>
          <w:p>
            <w:pPr>
              <w:spacing w:after="0"/>
            </w:pPr>
            <w:r/>
            <w:r>
              <w:rPr>
                <w:rFonts w:ascii="Liberation Sans" w:hAnsi="Liberation Sans"/>
                <w:b w:val="0"/>
                <w:color w:val="374151"/>
                <w:sz w:val="15"/>
              </w:rPr>
              <w:t>{{PAPEL_LGPD_PARTE_A}}</w:t>
            </w:r>
          </w:p>
        </w:tc>
      </w:tr>
      <w:tr>
        <w:tc>
          <w:tcPr>
            <w:tcW w:type="dxa" w:w="5100"/>
          </w:tcPr>
          <w:p>
            <w:pPr>
              <w:spacing w:after="0"/>
            </w:pPr>
            <w:r/>
            <w:r>
              <w:rPr>
                <w:rFonts w:ascii="Liberation Sans" w:hAnsi="Liberation Sans"/>
                <w:b w:val="0"/>
                <w:color w:val="374151"/>
                <w:sz w:val="15"/>
              </w:rPr>
              <w:t>Papel da Parte B</w:t>
            </w:r>
          </w:p>
        </w:tc>
        <w:tc>
          <w:tcPr>
            <w:tcW w:type="dxa" w:w="5100"/>
          </w:tcPr>
          <w:p>
            <w:pPr>
              <w:spacing w:after="0"/>
            </w:pPr>
            <w:r/>
            <w:r>
              <w:rPr>
                <w:rFonts w:ascii="Liberation Sans" w:hAnsi="Liberation Sans"/>
                <w:b w:val="0"/>
                <w:color w:val="374151"/>
                <w:sz w:val="15"/>
              </w:rPr>
              <w:t>{{PAPEL_LGPD_PARTE_B}}</w:t>
            </w:r>
          </w:p>
        </w:tc>
      </w:tr>
      <w:tr>
        <w:tc>
          <w:tcPr>
            <w:tcW w:type="dxa" w:w="5100"/>
          </w:tcPr>
          <w:p>
            <w:pPr>
              <w:spacing w:after="0"/>
            </w:pPr>
            <w:r/>
            <w:r>
              <w:rPr>
                <w:rFonts w:ascii="Liberation Sans" w:hAnsi="Liberation Sans"/>
                <w:b w:val="0"/>
                <w:color w:val="374151"/>
                <w:sz w:val="15"/>
              </w:rPr>
              <w:t>Categorias de dados</w:t>
            </w:r>
          </w:p>
        </w:tc>
        <w:tc>
          <w:tcPr>
            <w:tcW w:type="dxa" w:w="5100"/>
          </w:tcPr>
          <w:p>
            <w:pPr>
              <w:spacing w:after="0"/>
            </w:pPr>
            <w:r/>
            <w:r>
              <w:rPr>
                <w:rFonts w:ascii="Liberation Sans" w:hAnsi="Liberation Sans"/>
                <w:b w:val="0"/>
                <w:color w:val="374151"/>
                <w:sz w:val="15"/>
              </w:rPr>
              <w:t>{{CATEGORIAS_DADOS}}</w:t>
            </w:r>
          </w:p>
        </w:tc>
      </w:tr>
      <w:tr>
        <w:tc>
          <w:tcPr>
            <w:tcW w:type="dxa" w:w="5100"/>
          </w:tcPr>
          <w:p>
            <w:pPr>
              <w:spacing w:after="0"/>
            </w:pPr>
            <w:r/>
            <w:r>
              <w:rPr>
                <w:rFonts w:ascii="Liberation Sans" w:hAnsi="Liberation Sans"/>
                <w:b w:val="0"/>
                <w:color w:val="374151"/>
                <w:sz w:val="15"/>
              </w:rPr>
              <w:t>Finalidades</w:t>
            </w:r>
          </w:p>
        </w:tc>
        <w:tc>
          <w:tcPr>
            <w:tcW w:type="dxa" w:w="5100"/>
          </w:tcPr>
          <w:p>
            <w:pPr>
              <w:spacing w:after="0"/>
            </w:pPr>
            <w:r/>
            <w:r>
              <w:rPr>
                <w:rFonts w:ascii="Liberation Sans" w:hAnsi="Liberation Sans"/>
                <w:b w:val="0"/>
                <w:color w:val="374151"/>
                <w:sz w:val="15"/>
              </w:rPr>
              <w:t>{{FINALIDADES}}</w:t>
            </w:r>
          </w:p>
        </w:tc>
      </w:tr>
      <w:tr>
        <w:tc>
          <w:tcPr>
            <w:tcW w:type="dxa" w:w="5100"/>
          </w:tcPr>
          <w:p>
            <w:pPr>
              <w:spacing w:after="0"/>
            </w:pPr>
            <w:r/>
            <w:r>
              <w:rPr>
                <w:rFonts w:ascii="Liberation Sans" w:hAnsi="Liberation Sans"/>
                <w:b w:val="0"/>
                <w:color w:val="374151"/>
                <w:sz w:val="15"/>
              </w:rPr>
              <w:t>Titulares</w:t>
            </w:r>
          </w:p>
        </w:tc>
        <w:tc>
          <w:tcPr>
            <w:tcW w:type="dxa" w:w="5100"/>
          </w:tcPr>
          <w:p>
            <w:pPr>
              <w:spacing w:after="0"/>
            </w:pPr>
            <w:r/>
            <w:r>
              <w:rPr>
                <w:rFonts w:ascii="Liberation Sans" w:hAnsi="Liberation Sans"/>
                <w:b w:val="0"/>
                <w:color w:val="374151"/>
                <w:sz w:val="15"/>
              </w:rPr>
              <w:t>{{CATEGORIAS_TITULARES}}</w:t>
            </w:r>
          </w:p>
        </w:tc>
      </w:tr>
      <w:tr>
        <w:tc>
          <w:tcPr>
            <w:tcW w:type="dxa" w:w="5100"/>
          </w:tcPr>
          <w:p>
            <w:pPr>
              <w:spacing w:after="0"/>
            </w:pPr>
            <w:r/>
            <w:r>
              <w:rPr>
                <w:rFonts w:ascii="Liberation Sans" w:hAnsi="Liberation Sans"/>
                <w:b w:val="0"/>
                <w:color w:val="374151"/>
                <w:sz w:val="15"/>
              </w:rPr>
              <w:t>Retenção</w:t>
            </w:r>
          </w:p>
        </w:tc>
        <w:tc>
          <w:tcPr>
            <w:tcW w:type="dxa" w:w="5100"/>
          </w:tcPr>
          <w:p>
            <w:pPr>
              <w:spacing w:after="0"/>
            </w:pPr>
            <w:r/>
            <w:r>
              <w:rPr>
                <w:rFonts w:ascii="Liberation Sans" w:hAnsi="Liberation Sans"/>
                <w:b w:val="0"/>
                <w:color w:val="374151"/>
                <w:sz w:val="15"/>
              </w:rPr>
              <w:t>{{PRAZO_RETENCAO}}</w:t>
            </w:r>
          </w:p>
        </w:tc>
      </w:tr>
      <w:tr>
        <w:tc>
          <w:tcPr>
            <w:tcW w:type="dxa" w:w="5100"/>
          </w:tcPr>
          <w:p>
            <w:pPr>
              <w:spacing w:after="0"/>
            </w:pPr>
            <w:r/>
            <w:r>
              <w:rPr>
                <w:rFonts w:ascii="Liberation Sans" w:hAnsi="Liberation Sans"/>
                <w:b w:val="0"/>
                <w:color w:val="374151"/>
                <w:sz w:val="15"/>
              </w:rPr>
              <w:t>Suboperadores</w:t>
            </w:r>
          </w:p>
        </w:tc>
        <w:tc>
          <w:tcPr>
            <w:tcW w:type="dxa" w:w="5100"/>
          </w:tcPr>
          <w:p>
            <w:pPr>
              <w:spacing w:after="0"/>
            </w:pPr>
            <w:r/>
            <w:r>
              <w:rPr>
                <w:rFonts w:ascii="Liberation Sans" w:hAnsi="Liberation Sans"/>
                <w:b w:val="0"/>
                <w:color w:val="374151"/>
                <w:sz w:val="15"/>
              </w:rPr>
              <w:t>{{SUBOPERADORES}}</w:t>
            </w:r>
          </w:p>
        </w:tc>
      </w:tr>
      <w:tr>
        <w:tc>
          <w:tcPr>
            <w:tcW w:type="dxa" w:w="5100"/>
          </w:tcPr>
          <w:p>
            <w:pPr>
              <w:spacing w:after="0"/>
            </w:pPr>
            <w:r/>
            <w:r>
              <w:rPr>
                <w:rFonts w:ascii="Liberation Sans" w:hAnsi="Liberation Sans"/>
                <w:b w:val="0"/>
                <w:color w:val="374151"/>
                <w:sz w:val="15"/>
              </w:rPr>
              <w:t>Prazo de incidente</w:t>
            </w:r>
          </w:p>
        </w:tc>
        <w:tc>
          <w:tcPr>
            <w:tcW w:type="dxa" w:w="5100"/>
          </w:tcPr>
          <w:p>
            <w:pPr>
              <w:spacing w:after="0"/>
            </w:pPr>
            <w:r/>
            <w:r>
              <w:rPr>
                <w:rFonts w:ascii="Liberation Sans" w:hAnsi="Liberation Sans"/>
                <w:b w:val="0"/>
                <w:color w:val="374151"/>
                <w:sz w:val="15"/>
              </w:rPr>
              <w:t>{{PRAZO_COMUNICACAO_INCIDENTE}}</w:t>
            </w:r>
          </w:p>
        </w:tc>
      </w:tr>
    </w:tbl>
    <w:sectPr w:rsidR="00FC693F" w:rsidRPr="0006063C" w:rsidSect="00034616">
      <w:headerReference w:type="default" r:id="rId9"/>
      <w:footerReference w:type="default" r:id="rId10"/>
      <w:pgSz w:w="12240" w:h="15840"/>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654"/>
      <w:gridCol w:w="1871"/>
    </w:tblGrid>
    <w:tr>
      <w:tc>
        <w:tcPr>
          <w:tcW w:type="dxa" w:w="4762"/>
        </w:tcPr>
        <w:p>
          <w:pPr>
            <w:spacing w:after="0"/>
          </w:pPr>
          <w:r/>
          <w:r>
            <w:rPr>
              <w:rFonts w:ascii="Liberation Sans" w:hAnsi="Liberation Sans"/>
              <w:b w:val="0"/>
              <w:color w:val="64748B"/>
              <w:sz w:val="14"/>
            </w:rPr>
            <w:t>Modelo jurídico-base. Substitua os campos {{...}} e valide as condições específicas da operação.</w:t>
          </w:r>
        </w:p>
      </w:tc>
      <w:tc>
        <w:tcPr>
          <w:tcW w:type="dxa" w:w="4762"/>
        </w:tcPr>
        <w:p>
          <w:pPr>
            <w:jc w:val="right"/>
          </w:pPr>
          <w:r>
            <w:rPr>
              <w:color w:val="64748B"/>
              <w:sz w:val="14"/>
            </w:rPr>
            <w:t xml:space="preserve">Página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color w:val="64748B"/>
        <w:sz w:val="15"/>
      </w:rPr>
      <w:t>PONDERUM | PS-04 | MODELO PARAMETRIZÁVEL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0203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E7C7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02033"/>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4B556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Desenvolvimento de Software Sob Encomenda</dc:title>
  <dc:subject>Escopo, código, aceite, open source, segurança e transferência de conhecimento</dc:subject>
  <dc:creator>Ponderum - Biblioteca de Modelos Contratuais</dc:creator>
  <cp:keywords>PS-04; Prestação de Serviços; contrato; modelo; Ponderum</cp:keywords>
  <dc:description>Revisão-base em 25 de julho de 2026. Modelo parametrizável.</dc:description>
  <cp:lastModifiedBy/>
  <cp:revision>1</cp:revision>
  <dcterms:created xsi:type="dcterms:W3CDTF">2013-12-23T23:15:00Z</dcterms:created>
  <dcterms:modified xsi:type="dcterms:W3CDTF">2013-12-23T23:15:00Z</dcterms:modified>
  <cp:category/>
</cp:coreProperties>
</file>