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1F4E79"/>
          <w:sz w:val="28"/>
          <w:szCs w:val="28"/>
        </w:rPr>
        <w:t xml:space="preserve">KYC AI Platform</w:t>
      </w:r>
    </w:p>
    <w:p>
      <w:pPr>
        <w:spacing w:before="400"/>
        <w:jc w:val="center"/>
      </w:pPr>
      <w:r>
        <w:rPr>
          <w:b/>
          <w:bCs/>
          <w:color w:val="1F4E79"/>
          <w:sz w:val="44"/>
          <w:szCs w:val="44"/>
        </w:rPr>
        <w:t xml:space="preserve">Operações e Homologação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Deploy, runbooks, E2E e dossier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Maio 2026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 — Uso interno /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Data de geração: </w:t>
      </w:r>
      <w:r>
        <w:rPr>
          <w:sz w:val="22"/>
          <w:szCs w:val="22"/>
        </w:rPr>
        <w:t xml:space="preserve">2026-05-31</w:t>
      </w:r>
    </w:p>
    <w:p>
      <w:r>
        <w:br w:type="page"/>
      </w:r>
    </w:p>
    <w:p>
      <w:pPr>
        <w:pStyle w:val="Heading1"/>
      </w:pPr>
      <w:r>
        <w:t xml:space="preserve">Operações e Homologação — KYC AI Platform</w:t>
      </w:r>
    </w:p>
    <w:p>
      <w:pPr>
        <w:spacing w:after="80" w:before="80"/>
        <w:ind w:left="720"/>
      </w:pPr>
      <w:r>
        <w:t xml:space="preserve">Documento unificado: deploy, runbooks, testes E2E, checklists regulatórios e segurança, dossier de evidências.</w:t>
      </w:r>
    </w:p>
    <w:p>
      <w:r>
        <w:br w:type="page"/>
      </w:r>
    </w:p>
    <w:p>
      <w:pPr>
        <w:pStyle w:val="Heading2"/>
      </w:pPr>
      <w:r>
        <w:t xml:space="preserve">1. Deploy on-prem</w:t>
      </w:r>
    </w:p>
    <w:p>
      <w:pPr>
        <w:pStyle w:val="Heading3"/>
      </w:pPr>
      <w:r>
        <w:t xml:space="preserve">1.1 Pré-requisitos</w:t>
      </w:r>
    </w:p>
    <w:p>
      <w:pPr>
        <w:pStyle w:val="ListParagraph"/>
        <w:numPr>
          <w:ilvl w:val="0"/>
          <w:numId w:val="1"/>
        </w:numPr>
      </w:pPr>
      <w:r>
        <w:t xml:space="preserve">Docker e Docker Compose</w:t>
      </w:r>
    </w:p>
    <w:p>
      <w:pPr>
        <w:pStyle w:val="ListParagraph"/>
        <w:numPr>
          <w:ilvl w:val="0"/>
          <w:numId w:val="1"/>
        </w:numPr>
      </w:pPr>
      <w:r>
        <w:t xml:space="preserve">Ollama acessível (</w:t>
      </w:r>
      <w:r>
        <w:rPr>
          <w:rFonts w:ascii="Consolas" w:cs="Consolas" w:eastAsia="Consolas" w:hAnsi="Consolas"/>
          <w:sz w:val="20"/>
          <w:szCs w:val="20"/>
        </w:rPr>
        <w:t xml:space="preserve">OLLAMA_ENDPOINT</w:t>
      </w:r>
      <w:r>
        <w:t xml:space="preserve">, ex. </w:t>
      </w:r>
      <w:r>
        <w:rPr>
          <w:rFonts w:ascii="Consolas" w:cs="Consolas" w:eastAsia="Consolas" w:hAnsi="Consolas"/>
          <w:sz w:val="20"/>
          <w:szCs w:val="20"/>
        </w:rPr>
        <w:t xml:space="preserve">http://host.docker.internal:11434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Ficheiro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(copiar de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) — </w:t>
      </w:r>
      <w:r>
        <w:rPr>
          <w:b/>
          <w:bCs/>
        </w:rPr>
        <w:t xml:space="preserve">nunca commitar</w:t>
      </w:r>
    </w:p>
    <w:p>
      <w:pPr>
        <w:pStyle w:val="Heading3"/>
      </w:pPr>
      <w:r>
        <w:t xml:space="preserve">1.2 Arranque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cp .env.example .env
# Editar passwords e KYC_DB_CONNECTION (compose: Host=kyc-postgres)
docker compose -f docker-compose.prod.yml up -d --build</w:t>
      </w:r>
    </w:p>
    <w:p>
      <w:pPr>
        <w:pStyle w:val="Heading3"/>
      </w:pPr>
      <w:r>
        <w:t xml:space="preserve">1.3 Migrations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docker-compose.prod.yml exec kyc-web \
  dotnet ef database update --project /src/KYC.Infrastructure --startup-project /src/KYC.Web</w:t>
      </w:r>
    </w:p>
    <w:p>
      <w:r>
        <w:t xml:space="preserve">No host: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dotnet ef database update --project src/KYC.Infrastructure --startup-project src/KYC.Web</w:t>
      </w:r>
    </w:p>
    <w:p>
      <w:pPr>
        <w:pStyle w:val="Heading3"/>
      </w:pPr>
      <w:r>
        <w:t xml:space="preserve">1.4 Verificação pós-deploy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Verificação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Comando / URL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http://localhost:8080</w:t>
            </w:r>
            <w:r>
              <w:t xml:space="preserve"> (ou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KYC_WEB_PORT</w:t>
            </w:r>
            <w:r>
              <w:t xml:space="preserve">)</w:t>
            </w:r>
          </w:p>
        </w:tc>
      </w:tr>
      <w:tr>
        <w:tc>
          <w:p>
            <w:r>
              <w:t xml:space="preserve">Health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/health</w:t>
            </w:r>
          </w:p>
        </w:tc>
      </w:tr>
      <w:tr>
        <w:tc>
          <w:p>
            <w:r>
              <w:t xml:space="preserve">Admin dev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KYC_ADMIN_EMAIL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KYC_ADMIN_PASSWORD</w:t>
            </w:r>
          </w:p>
        </w:tc>
      </w:tr>
      <w:tr>
        <w:tc>
          <w:p>
            <w:r>
              <w:t xml:space="preserve">Workers</w:t>
            </w:r>
          </w:p>
        </w:tc>
        <w:tc>
          <w:p>
            <w:r>
              <w:t xml:space="preserve">Volumes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Data/ofac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Data/eu-fsf</w:t>
            </w:r>
            <w:r>
              <w:t xml:space="preserve"> após arranque</w:t>
            </w:r>
          </w:p>
        </w:tc>
      </w:tr>
    </w:tbl>
    <w:p/>
    <w:p>
      <w:pPr>
        <w:pStyle w:val="Heading3"/>
      </w:pPr>
      <w:r>
        <w:t xml:space="preserve">1.5 Variáveis compliance críticas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IDENTITY_VERIFICATION_WEBHOOK_SECRET=...
IdentityVerification__BaseUrl=...
Uif__BaseUrl=...
Uif__ApiKey=...
BdpAssetFreeze__BaseUrl=...
Compliance__RequireLiveIntegrations=true</w:t>
      </w:r>
    </w:p>
    <w:p>
      <w:r>
        <w:br w:type="page"/>
      </w:r>
    </w:p>
    <w:p>
      <w:pPr>
        <w:pStyle w:val="Heading2"/>
      </w:pPr>
      <w:r>
        <w:t xml:space="preserve">2. Runbook — Homologação técnica</w:t>
      </w:r>
    </w:p>
    <w:p>
      <w:pPr>
        <w:pStyle w:val="Heading3"/>
      </w:pPr>
      <w:r>
        <w:t xml:space="preserve">2.1 Base de dados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$env:KYC_DB_CONNECTION="Host=...;Port=5433;Database=...;Username=...;Password=..."
dotnet ef database update --project src/KYC.Infrastructure --startup-project src/KYC.Web</w:t>
      </w:r>
    </w:p>
    <w:p>
      <w:r>
        <w:t xml:space="preserve">Confirmar trigger audit: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SELECT tgname FROM pg_trigger WHERE tgname = 'tr_audit_entries_immutable';</w:t>
      </w:r>
    </w:p>
    <w:p>
      <w:r>
        <w:t xml:space="preserve">Teste opcional: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dotnet test tests/KYC.Web.Integration.Tests --filter AuditImmutability</w:t>
      </w:r>
    </w:p>
    <w:p>
      <w:pPr>
        <w:pStyle w:val="Heading3"/>
      </w:pPr>
      <w:r>
        <w:t xml:space="preserve">2.2 Webhook identidade (HMAC)</w:t>
      </w:r>
    </w:p>
    <w:p>
      <w:r>
        <w:t xml:space="preserve">Configurar </w:t>
      </w:r>
      <w:r>
        <w:rPr>
          <w:rFonts w:ascii="Consolas" w:cs="Consolas" w:eastAsia="Consolas" w:hAnsi="Consolas"/>
          <w:sz w:val="20"/>
          <w:szCs w:val="20"/>
        </w:rPr>
        <w:t xml:space="preserve">IdentityVerification:WebhookSecret</w:t>
      </w:r>
      <w:r>
        <w:t xml:space="preserve"> ou </w:t>
      </w:r>
      <w:r>
        <w:rPr>
          <w:rFonts w:ascii="Consolas" w:cs="Consolas" w:eastAsia="Consolas" w:hAnsi="Consolas"/>
          <w:sz w:val="20"/>
          <w:szCs w:val="20"/>
        </w:rPr>
        <w:t xml:space="preserve">IDENTITY_VERIFICATION_WEBHOOK_SECRET</w:t>
      </w:r>
      <w:r>
        <w:t xml:space="preserve">.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$body = '{"partyId":"&lt;GUID&gt;","sessionId":"sess-abc","verified":true}'
$secret = "seu-secret"
$hash = [BitConverter]::ToString([System.Security.Cryptography.HMACSHA256]::HashData(
  [Text.Encoding]::UTF8.GetBytes($secret),
  [Text.Encoding]::UTF8.GetBytes($body))).Replace("-","").ToLower()
Invoke-RestMethod -Method Post -Uri "https://&lt;host&gt;/api/identity/webhook" `
  -Headers @{ "X-Webhook-Signature" = "sha256=$hash" } `
  -ContentType "application/json" -Body $body</w:t>
      </w:r>
    </w:p>
    <w:p>
      <w:pPr>
        <w:pStyle w:val="Heading3"/>
      </w:pPr>
      <w:r>
        <w:t xml:space="preserve">2.3 Testes automatizados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dotnet test
dotnet test tests/KYC.Web.Integration.Tests</w:t>
      </w:r>
    </w:p>
    <w:p>
      <w:r>
        <w:t xml:space="preserve">Cobertura compliance: </w:t>
      </w:r>
      <w:r>
        <w:rPr>
          <w:rFonts w:ascii="Consolas" w:cs="Consolas" w:eastAsia="Consolas" w:hAnsi="Consolas"/>
          <w:sz w:val="20"/>
          <w:szCs w:val="20"/>
        </w:rPr>
        <w:t xml:space="preserve">ComplianceHandlersIntegrationTests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ComplianceFlowTests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SarEligibilityTests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IdentityWebhookHttpTests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UboGraphViewBuilderTests</w:t>
      </w:r>
      <w:r>
        <w:t xml:space="preserve">.</w:t>
      </w:r>
    </w:p>
    <w:p>
      <w:pPr>
        <w:pStyle w:val="Heading3"/>
      </w:pPr>
      <w:r>
        <w:t xml:space="preserve">2.4 CI</w:t>
      </w:r>
    </w:p>
    <w:p>
      <w:r>
        <w:t xml:space="preserve">Push/PR para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ou </w:t>
      </w:r>
      <w:r>
        <w:rPr>
          <w:rFonts w:ascii="Consolas" w:cs="Consolas" w:eastAsia="Consolas" w:hAnsi="Consolas"/>
          <w:sz w:val="20"/>
          <w:szCs w:val="20"/>
        </w:rPr>
        <w:t xml:space="preserve">feature/*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.github/workflows/ci.yml</w:t>
      </w:r>
      <w:r>
        <w:t xml:space="preserve"> (PostgreSQL + migrations + testes).</w:t>
      </w:r>
    </w:p>
    <w:p>
      <w:r>
        <w:br w:type="page"/>
      </w:r>
    </w:p>
    <w:p>
      <w:pPr>
        <w:pStyle w:val="Heading2"/>
      </w:pPr>
      <w:r>
        <w:t xml:space="preserve">3. Runbook — PAC (Política de Aceitação de Clientes)</w:t>
      </w:r>
    </w:p>
    <w:p>
      <w:r>
        <w:rPr>
          <w:b/>
          <w:bCs/>
        </w:rPr>
        <w:t xml:space="preserve">Base legal:</w:t>
      </w:r>
      <w:r>
        <w:t xml:space="preserve"> Lei 83/2017, Art. 24.º</w:t>
      </w:r>
    </w:p>
    <w:p>
      <w:pPr>
        <w:pStyle w:val="Heading3"/>
      </w:pPr>
      <w:r>
        <w:t xml:space="preserve">Versão activa</w:t>
      </w:r>
    </w:p>
    <w:p>
      <w:pPr>
        <w:pStyle w:val="ListParagraph"/>
        <w:numPr>
          <w:ilvl w:val="0"/>
          <w:numId w:val="1"/>
        </w:numPr>
      </w:pPr>
      <w:r>
        <w:t xml:space="preserve">Admin → </w:t>
      </w:r>
      <w:r>
        <w:rPr>
          <w:b/>
          <w:bCs/>
        </w:rPr>
        <w:t xml:space="preserve">Settings</w:t>
      </w:r>
      <w:r>
        <w:t xml:space="preserve"> — cartão «PAC activa»</w:t>
      </w:r>
    </w:p>
    <w:p>
      <w:pPr>
        <w:pStyle w:val="ListParagraph"/>
        <w:numPr>
          <w:ilvl w:val="0"/>
          <w:numId w:val="1"/>
        </w:numPr>
      </w:pPr>
      <w:r>
        <w:t xml:space="preserve">BD: </w:t>
      </w:r>
      <w:r>
        <w:rPr>
          <w:rFonts w:ascii="Consolas" w:cs="Consolas" w:eastAsia="Consolas" w:hAnsi="Consolas"/>
          <w:sz w:val="20"/>
          <w:szCs w:val="20"/>
        </w:rPr>
        <w:t xml:space="preserve">customer_acceptance_policies</w:t>
      </w:r>
      <w:r>
        <w:t xml:space="preserve"> com </w:t>
      </w:r>
      <w:r>
        <w:rPr>
          <w:rFonts w:ascii="Consolas" w:cs="Consolas" w:eastAsia="Consolas" w:hAnsi="Consolas"/>
          <w:sz w:val="20"/>
          <w:szCs w:val="20"/>
        </w:rPr>
        <w:t xml:space="preserve">IsActive = true</w:t>
      </w:r>
    </w:p>
    <w:p>
      <w:pPr>
        <w:pStyle w:val="ListParagraph"/>
        <w:numPr>
          <w:ilvl w:val="0"/>
          <w:numId w:val="1"/>
        </w:numPr>
      </w:pPr>
      <w:r>
        <w:t xml:space="preserve">Seed: </w:t>
      </w:r>
      <w:r>
        <w:rPr>
          <w:rFonts w:ascii="Consolas" w:cs="Consolas" w:eastAsia="Consolas" w:hAnsi="Consolas"/>
          <w:sz w:val="20"/>
          <w:szCs w:val="20"/>
        </w:rPr>
        <w:t xml:space="preserve">ComplianceSeedHostedService</w:t>
      </w:r>
      <w:r>
        <w:t xml:space="preserve"> cria PAC </w:t>
      </w:r>
      <w:r>
        <w:rPr>
          <w:rFonts w:ascii="Consolas" w:cs="Consolas" w:eastAsia="Consolas" w:hAnsi="Consolas"/>
          <w:sz w:val="20"/>
          <w:szCs w:val="20"/>
        </w:rPr>
        <w:t xml:space="preserve">1.0.0</w:t>
      </w:r>
      <w:r>
        <w:t xml:space="preserve"> se vazia</w:t>
      </w:r>
    </w:p>
    <w:p>
      <w:pPr>
        <w:pStyle w:val="Heading3"/>
      </w:pPr>
      <w:r>
        <w:t xml:space="preserve">Nova versão</w:t>
      </w:r>
    </w:p>
    <w:p>
      <w:pPr>
        <w:pStyle w:val="ListParagraph"/>
        <w:numPr>
          <w:ilvl w:val="0"/>
          <w:numId w:val="1"/>
        </w:numPr>
      </w:pPr>
      <w:r>
        <w:t xml:space="preserve">Admin → Settings → versão (ex. </w:t>
      </w:r>
      <w:r>
        <w:rPr>
          <w:rFonts w:ascii="Consolas" w:cs="Consolas" w:eastAsia="Consolas" w:hAnsi="Consolas"/>
          <w:sz w:val="20"/>
          <w:szCs w:val="20"/>
        </w:rPr>
        <w:t xml:space="preserve">1.1.0</w:t>
      </w:r>
      <w:r>
        <w:t xml:space="preserve">) → </w:t>
      </w:r>
      <w:r>
        <w:rPr>
          <w:b/>
          <w:bCs/>
        </w:rPr>
        <w:t xml:space="preserve">Activar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CreateCustomerAcceptancePolicyCommand</w:t>
      </w:r>
      <w:r>
        <w:t xml:space="preserve"> desactiva anterior</w:t>
      </w:r>
    </w:p>
    <w:p>
      <w:pPr>
        <w:pStyle w:val="ListParagraph"/>
        <w:numPr>
          <w:ilvl w:val="0"/>
          <w:numId w:val="1"/>
        </w:numPr>
      </w:pPr>
      <w:r>
        <w:t xml:space="preserve">Novos casos: </w:t>
      </w:r>
      <w:r>
        <w:rPr>
          <w:rFonts w:ascii="Consolas" w:cs="Consolas" w:eastAsia="Consolas" w:hAnsi="Consolas"/>
          <w:sz w:val="20"/>
          <w:szCs w:val="20"/>
        </w:rPr>
        <w:t xml:space="preserve">LegalBasisRef</w:t>
      </w:r>
      <w: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PAC/{versão}/Lei83/2017-Art24</w:t>
      </w:r>
    </w:p>
    <w:p>
      <w:pPr>
        <w:pStyle w:val="Heading3"/>
      </w:pPr>
      <w:r>
        <w:t xml:space="preserve">Regras no arranque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c>
          <w:p>
            <w:r>
              <w:t xml:space="preserve">CAE em lista proibida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PolicyViolationException</w:t>
            </w:r>
          </w:p>
        </w:tc>
      </w:tr>
      <w:tr>
        <w:tc>
          <w:p>
            <w:r>
              <w:t xml:space="preserve">Jurisdição proibida / offshore</w:t>
            </w:r>
          </w:p>
        </w:tc>
        <w:tc>
          <w:p>
            <w:r>
              <w:t xml:space="preserve">Auto-reject ou violação</w:t>
            </w:r>
          </w:p>
        </w:tc>
      </w:tr>
      <w:tr>
        <w:tc>
          <w:p>
            <w:r>
              <w:t xml:space="preserve">PEP na estrutura</w:t>
            </w:r>
          </w:p>
        </w:tc>
        <w:tc>
          <w:p>
            <w:r>
              <w:t xml:space="preserve">Auto-reject (config PAC)</w:t>
            </w:r>
          </w:p>
        </w:tc>
      </w:tr>
    </w:tbl>
    <w:p/>
    <w:p>
      <w:r>
        <w:rPr>
          <w:b/>
          <w:bCs/>
        </w:rPr>
        <w:t xml:space="preserve">Evidência: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docs/dossier/01-pac/</w:t>
      </w:r>
    </w:p>
    <w:p>
      <w:r>
        <w:br w:type="page"/>
      </w:r>
    </w:p>
    <w:p>
      <w:pPr>
        <w:pStyle w:val="Heading2"/>
      </w:pPr>
      <w:r>
        <w:t xml:space="preserve">4. Cenários E2E — Homologação BdP</w:t>
      </w:r>
    </w:p>
    <w:p>
      <w:pPr>
        <w:spacing w:after="80" w:before="80"/>
        <w:ind w:left="720"/>
      </w:pPr>
      <w:r>
        <w:t xml:space="preserve">Ambiente com BD migrada (</w:t>
      </w:r>
      <w:r>
        <w:rPr>
          <w:rFonts w:ascii="Consolas" w:cs="Consolas" w:eastAsia="Consolas" w:hAnsi="Consolas"/>
          <w:sz w:val="20"/>
          <w:szCs w:val="20"/>
        </w:rPr>
        <w:t xml:space="preserve">BdpComplianceAndGtm</w:t>
      </w:r>
      <w:r>
        <w:t xml:space="preserve"> + posteriores).   Pré-requisitos: </w:t>
      </w:r>
      <w:r>
        <w:rPr>
          <w:rFonts w:ascii="Consolas" w:cs="Consolas" w:eastAsia="Consolas" w:hAnsi="Consolas"/>
          <w:sz w:val="20"/>
          <w:szCs w:val="20"/>
        </w:rPr>
        <w:t xml:space="preserve">KYC_DB_CONNECTION</w:t>
      </w:r>
      <w:r>
        <w:t xml:space="preserve">, Ollama, PAC activa.</w:t>
      </w:r>
    </w:p>
    <w:p>
      <w:pPr>
        <w:pStyle w:val="Heading3"/>
      </w:pPr>
      <w:r>
        <w:t xml:space="preserve">Cenário 1 — PAC no arranque</w:t>
      </w:r>
    </w:p>
    <w:p>
      <w:pPr>
        <w:pStyle w:val="ListParagraph"/>
        <w:numPr>
          <w:ilvl w:val="0"/>
          <w:numId w:val="1"/>
        </w:numPr>
      </w:pPr>
      <w:r>
        <w:t xml:space="preserve">Caso CAE </w:t>
      </w:r>
      <w:r>
        <w:rPr>
          <w:rFonts w:ascii="Consolas" w:cs="Consolas" w:eastAsia="Consolas" w:hAnsi="Consolas"/>
          <w:sz w:val="20"/>
          <w:szCs w:val="20"/>
        </w:rPr>
        <w:t xml:space="preserve">92000</w:t>
      </w:r>
      <w:r>
        <w:t xml:space="preserve"> (jogos) → falha PAC</w:t>
      </w:r>
    </w:p>
    <w:p>
      <w:pPr>
        <w:pStyle w:val="ListParagraph"/>
        <w:numPr>
          <w:ilvl w:val="0"/>
          <w:numId w:val="1"/>
        </w:numPr>
      </w:pPr>
      <w:r>
        <w:t xml:space="preserve">Caso válido → </w:t>
      </w:r>
      <w:r>
        <w:rPr>
          <w:rFonts w:ascii="Consolas" w:cs="Consolas" w:eastAsia="Consolas" w:hAnsi="Consolas"/>
          <w:sz w:val="20"/>
          <w:szCs w:val="20"/>
        </w:rPr>
        <w:t xml:space="preserve">InProgress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LegalBasisRef</w:t>
      </w:r>
    </w:p>
    <w:p>
      <w:pPr>
        <w:pStyle w:val="Heading3"/>
      </w:pPr>
      <w:r>
        <w:t xml:space="preserve">Cenário 2 — Identidade (Aviso 1/2022)</w:t>
      </w:r>
    </w:p>
    <w:p>
      <w:pPr>
        <w:pStyle w:val="ListParagraph"/>
        <w:numPr>
          <w:ilvl w:val="0"/>
          <w:numId w:val="1"/>
        </w:numPr>
      </w:pPr>
      <w:r>
        <w:t xml:space="preserve">Conformidade → «Verificar identidade» → método</w:t>
      </w:r>
    </w:p>
    <w:p>
      <w:pPr>
        <w:pStyle w:val="ListParagraph"/>
        <w:numPr>
          <w:ilvl w:val="0"/>
          <w:numId w:val="1"/>
        </w:numPr>
      </w:pPr>
      <w:r>
        <w:t xml:space="preserve">Webhook HMAC ou polling → </w:t>
      </w:r>
      <w:r>
        <w:rPr>
          <w:rFonts w:ascii="Consolas" w:cs="Consolas" w:eastAsia="Consolas" w:hAnsi="Consolas"/>
          <w:sz w:val="20"/>
          <w:szCs w:val="20"/>
        </w:rPr>
        <w:t xml:space="preserve">Verified</w:t>
      </w:r>
    </w:p>
    <w:p>
      <w:pPr>
        <w:pStyle w:val="ListParagraph"/>
        <w:numPr>
          <w:ilvl w:val="0"/>
          <w:numId w:val="1"/>
        </w:numPr>
      </w:pPr>
      <w:r>
        <w:t xml:space="preserve">Aprovar sem UBO verificado → botão desactivado + mensagem</w:t>
      </w:r>
    </w:p>
    <w:p>
      <w:pPr>
        <w:pStyle w:val="Heading3"/>
      </w:pPr>
      <w:r>
        <w:t xml:space="preserve">Cenário 3 — SAR / UIF</w:t>
      </w:r>
    </w:p>
    <w:p>
      <w:pPr>
        <w:pStyle w:val="ListParagraph"/>
        <w:numPr>
          <w:ilvl w:val="0"/>
          <w:numId w:val="1"/>
        </w:numPr>
      </w:pPr>
      <w:r>
        <w:t xml:space="preserve">Caso alto risco → banner SAR → narrativa ≥200 → submeter</w:t>
      </w:r>
    </w:p>
    <w:p>
      <w:pPr>
        <w:pStyle w:val="ListParagraph"/>
        <w:numPr>
          <w:ilvl w:val="0"/>
          <w:numId w:val="1"/>
        </w:numPr>
      </w:pPr>
      <w:r>
        <w:t xml:space="preserve">«Não aplicável» → justificação ≥50 → </w:t>
      </w:r>
      <w:r>
        <w:rPr>
          <w:rFonts w:ascii="Consolas" w:cs="Consolas" w:eastAsia="Consolas" w:hAnsi="Consolas"/>
          <w:sz w:val="20"/>
          <w:szCs w:val="20"/>
        </w:rPr>
        <w:t xml:space="preserve">NotRequired</w:t>
      </w:r>
    </w:p>
    <w:p>
      <w:pPr>
        <w:pStyle w:val="ListParagraph"/>
        <w:numPr>
          <w:ilvl w:val="0"/>
          <w:numId w:val="1"/>
        </w:numPr>
      </w:pPr>
      <w:r>
        <w:t xml:space="preserve">Lista casos → badges SAR/DDC</w:t>
      </w:r>
    </w:p>
    <w:p>
      <w:pPr>
        <w:pStyle w:val="Heading3"/>
      </w:pPr>
      <w:r>
        <w:t xml:space="preserve">Cenário 4 — EDD 4-eyes</w:t>
      </w:r>
    </w:p>
    <w:p>
      <w:pPr>
        <w:pStyle w:val="ListParagraph"/>
        <w:numPr>
          <w:ilvl w:val="0"/>
          <w:numId w:val="1"/>
        </w:numPr>
      </w:pPr>
      <w:r>
        <w:t xml:space="preserve">Enhanced + origem fundos + verificação</w:t>
      </w:r>
    </w:p>
    <w:p>
      <w:pPr>
        <w:pStyle w:val="ListParagraph"/>
        <w:numPr>
          <w:ilvl w:val="0"/>
          <w:numId w:val="1"/>
        </w:numPr>
      </w:pPr>
      <w:r>
        <w:t xml:space="preserve">Aprovar com segundo supervisor → </w:t>
      </w:r>
      <w:r>
        <w:rPr>
          <w:rFonts w:ascii="Consolas" w:cs="Consolas" w:eastAsia="Consolas" w:hAnsi="Consolas"/>
          <w:sz w:val="20"/>
          <w:szCs w:val="20"/>
        </w:rPr>
        <w:t xml:space="preserve">SecondApproverId</w:t>
      </w:r>
    </w:p>
    <w:p>
      <w:pPr>
        <w:pStyle w:val="Heading3"/>
      </w:pPr>
      <w:r>
        <w:t xml:space="preserve">Cenário 5 — RPB</w:t>
      </w:r>
    </w:p>
    <w:p>
      <w:pPr>
        <w:pStyle w:val="ListParagraph"/>
        <w:numPr>
          <w:ilvl w:val="0"/>
          <w:numId w:val="1"/>
        </w:numPr>
      </w:pPr>
      <w:r>
        <w:t xml:space="preserve">Admin → Gerar RPB ano corrente</w:t>
      </w:r>
    </w:p>
    <w:p>
      <w:pPr>
        <w:pStyle w:val="ListParagraph"/>
        <w:numPr>
          <w:ilvl w:val="0"/>
          <w:numId w:val="1"/>
        </w:numPr>
      </w:pPr>
      <w:r>
        <w:t xml:space="preserve">Export </w:t>
      </w:r>
      <w:r>
        <w:rPr>
          <w:rFonts w:ascii="Consolas" w:cs="Consolas" w:eastAsia="Consolas" w:hAnsi="Consolas"/>
          <w:sz w:val="20"/>
          <w:szCs w:val="20"/>
        </w:rPr>
        <w:t xml:space="preserve">?format=bdp</w:t>
      </w:r>
      <w:r>
        <w:t xml:space="preserve"> → XML</w:t>
      </w:r>
    </w:p>
    <w:p>
      <w:pPr>
        <w:pStyle w:val="ListParagraph"/>
        <w:numPr>
          <w:ilvl w:val="0"/>
          <w:numId w:val="1"/>
        </w:numPr>
      </w:pPr>
      <w:r>
        <w:t xml:space="preserve">Submeter → referência BdP</w:t>
      </w:r>
    </w:p>
    <w:p>
      <w:pPr>
        <w:pStyle w:val="Heading3"/>
      </w:pPr>
      <w:r>
        <w:t xml:space="preserve">Cenários 6–10 — Contingência manual (APIs indisponíveis)</w:t>
      </w:r>
    </w:p>
    <w:p>
      <w:r>
        <w:t xml:space="preserve">Detalhe passo-a-passo em </w:t>
      </w:r>
      <w:r>
        <w:rPr>
          <w:b/>
          <w:bCs/>
        </w:rPr>
        <w:t xml:space="preserve">[E2E_HOMOLOGACAO.md](E2E_HOMOLOGACAO.md)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Denominação social manual (sem RCBE/GLEIF)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SAR urgente → Pending → ref. UIF manual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Congelamento BdP manual pós-sanção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Identidade manual (sem API)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Sinais manuais + confirmar/descartar</w:t>
            </w:r>
          </w:p>
        </w:tc>
      </w:tr>
    </w:tbl>
    <w:p/>
    <w:p>
      <w:pPr>
        <w:pStyle w:val="Heading3"/>
      </w:pPr>
      <w:r>
        <w:t xml:space="preserve">Registo de execução</w:t>
      </w:r>
    </w:p>
    <w:p>
      <w:pPr>
        <w:spacing w:after="80" w:before="80"/>
        <w:ind w:left="720"/>
      </w:pPr>
      <w:r>
        <w:t xml:space="preserve">Tabela completa (10 linhas) e assinatura compliance: </w:t>
      </w:r>
      <w:r>
        <w:rPr>
          <w:b/>
          <w:bCs/>
        </w:rPr>
        <w:t xml:space="preserve">[E2E_HOMOLOGACAO.md](E2E_HOMOLOGACAO.md)</w:t>
      </w:r>
      <w:r>
        <w:t xml:space="preserve"> §Registo.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</w:t>
            </w:r>
          </w:p>
        </w:tc>
      </w:tr>
      <w:tr>
        <w:tc>
          <w:p>
            <w:r>
              <w:t xml:space="preserve">1–5</w:t>
            </w:r>
          </w:p>
        </w:tc>
        <w:tc>
          <w:p>
            <w:r>
              <w:t xml:space="preserve">Ver acima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dossier/</w:t>
            </w:r>
            <w:r>
              <w:t xml:space="preserve"> conforme E2E</w:t>
            </w:r>
          </w:p>
        </w:tc>
      </w:tr>
      <w:tr>
        <w:tc>
          <w:p>
            <w:r>
              <w:t xml:space="preserve">6–10</w:t>
            </w:r>
          </w:p>
        </w:tc>
        <w:tc>
          <w:p>
            <w:r>
              <w:t xml:space="preserve">Contingência manual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01-pac/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05-sar-uif/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07-congelamento/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06-identidade/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09-e2e/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5. Checklist regulatório — Capacidades (Lei 83/2017, BdP, RGPD)</w:t>
      </w:r>
    </w:p>
    <w:p>
      <w:pPr>
        <w:spacing w:after="80" w:before="80"/>
        <w:ind w:left="720"/>
      </w:pPr>
      <w:r>
        <w:t xml:space="preserve">Estado </w:t>
      </w:r>
      <w:r>
        <w:rPr>
          <w:b/>
          <w:bCs/>
        </w:rPr>
        <w:t xml:space="preserve">código</w:t>
      </w:r>
      <w:r>
        <w:t xml:space="preserve"> — evidência de execução em homologação é separada.</w:t>
      </w:r>
    </w:p>
    <w:p>
      <w:pPr>
        <w:pStyle w:val="Heading3"/>
      </w:pPr>
      <w:r>
        <w:t xml:space="preserve">Lei 83/2017 — AML/CFT</w:t>
      </w:r>
    </w:p>
    <w:p>
      <w:pPr>
        <w:pStyle w:val="ListParagraph"/>
        <w:numPr>
          <w:ilvl w:val="0"/>
          <w:numId w:val="1"/>
        </w:numPr>
      </w:pPr>
      <w:r>
        <w:t xml:space="preserve">[x] PAC versionada activa no arranque do caso</w:t>
      </w:r>
    </w:p>
    <w:p>
      <w:pPr>
        <w:pStyle w:val="ListParagraph"/>
        <w:numPr>
          <w:ilvl w:val="0"/>
          <w:numId w:val="1"/>
        </w:numPr>
      </w:pPr>
      <w:r>
        <w:t xml:space="preserve">[x] DDC Simplificada / Standard / Reforçada</w:t>
      </w:r>
    </w:p>
    <w:p>
      <w:pPr>
        <w:pStyle w:val="ListParagraph"/>
        <w:numPr>
          <w:ilvl w:val="0"/>
          <w:numId w:val="1"/>
        </w:numPr>
      </w:pPr>
      <w:r>
        <w:t xml:space="preserve">[x] EDD: origem de fundos antes de aprovação</w:t>
      </w:r>
    </w:p>
    <w:p>
      <w:pPr>
        <w:pStyle w:val="ListParagraph"/>
        <w:numPr>
          <w:ilvl w:val="0"/>
          <w:numId w:val="1"/>
        </w:numPr>
      </w:pPr>
      <w:r>
        <w:t xml:space="preserve">[x] Revisão periódica (</w:t>
      </w:r>
      <w:r>
        <w:rPr>
          <w:rFonts w:ascii="Consolas" w:cs="Consolas" w:eastAsia="Consolas" w:hAnsi="Consolas"/>
          <w:sz w:val="20"/>
          <w:szCs w:val="20"/>
        </w:rPr>
        <w:t xml:space="preserve">NextReviewDue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[x] SAR/UIF com audit trail</w:t>
      </w:r>
    </w:p>
    <w:p>
      <w:pPr>
        <w:pStyle w:val="Heading3"/>
      </w:pPr>
      <w:r>
        <w:t xml:space="preserve">Aviso BdP 1/2022</w:t>
      </w:r>
    </w:p>
    <w:p>
      <w:pPr>
        <w:pStyle w:val="ListParagraph"/>
        <w:numPr>
          <w:ilvl w:val="0"/>
          <w:numId w:val="1"/>
        </w:numPr>
      </w:pPr>
      <w:r>
        <w:t xml:space="preserve">[x] Verificação identidade (webhook + polling + UI)</w:t>
      </w:r>
    </w:p>
    <w:p>
      <w:pPr>
        <w:pStyle w:val="ListParagraph"/>
        <w:numPr>
          <w:ilvl w:val="0"/>
          <w:numId w:val="1"/>
        </w:numPr>
      </w:pPr>
      <w:r>
        <w:t xml:space="preserve">[x] Bloqueio aprovação se UBO/admin não verificado</w:t>
      </w:r>
    </w:p>
    <w:p>
      <w:pPr>
        <w:pStyle w:val="ListParagraph"/>
        <w:numPr>
          <w:ilvl w:val="0"/>
          <w:numId w:val="1"/>
        </w:numPr>
      </w:pPr>
      <w:r>
        <w:t xml:space="preserve">[x] 4-eyes em EDD</w:t>
      </w:r>
    </w:p>
    <w:p>
      <w:pPr>
        <w:pStyle w:val="Heading3"/>
      </w:pPr>
      <w:r>
        <w:t xml:space="preserve">Lei 97/2017 — Congelamento</w:t>
      </w:r>
    </w:p>
    <w:p>
      <w:pPr>
        <w:pStyle w:val="ListParagraph"/>
        <w:numPr>
          <w:ilvl w:val="0"/>
          <w:numId w:val="1"/>
        </w:numPr>
      </w:pPr>
      <w:r>
        <w:t xml:space="preserve">[x] Notificação automática ao confirmar sanção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rFonts w:ascii="Consolas" w:cs="Consolas" w:eastAsia="Consolas" w:hAnsi="Consolas"/>
          <w:sz w:val="20"/>
          <w:szCs w:val="20"/>
        </w:rPr>
        <w:t xml:space="preserve">AssetFreezeNotified</w:t>
      </w:r>
      <w:r>
        <w:t xml:space="preserve"> registado</w:t>
      </w:r>
    </w:p>
    <w:p>
      <w:pPr>
        <w:pStyle w:val="Heading3"/>
      </w:pPr>
      <w:r>
        <w:t xml:space="preserve">Instrução BdP 8/2024 — RPB</w:t>
      </w:r>
    </w:p>
    <w:p>
      <w:pPr>
        <w:pStyle w:val="ListParagraph"/>
        <w:numPr>
          <w:ilvl w:val="0"/>
          <w:numId w:val="1"/>
        </w:numPr>
      </w:pPr>
      <w:r>
        <w:t xml:space="preserve">[x] Geração anual </w:t>
      </w:r>
      <w:r>
        <w:rPr>
          <w:rFonts w:ascii="Consolas" w:cs="Consolas" w:eastAsia="Consolas" w:hAnsi="Consolas"/>
          <w:sz w:val="20"/>
          <w:szCs w:val="20"/>
        </w:rPr>
        <w:t xml:space="preserve">AmlComplianceReport</w:t>
      </w:r>
    </w:p>
    <w:p>
      <w:pPr>
        <w:pStyle w:val="ListParagraph"/>
        <w:numPr>
          <w:ilvl w:val="0"/>
          <w:numId w:val="1"/>
        </w:numPr>
      </w:pPr>
      <w:r>
        <w:t xml:space="preserve">[x] Export JSON + XML BdP (</w:t>
      </w:r>
      <w:r>
        <w:rPr>
          <w:rFonts w:ascii="Consolas" w:cs="Consolas" w:eastAsia="Consolas" w:hAnsi="Consolas"/>
          <w:sz w:val="20"/>
          <w:szCs w:val="20"/>
        </w:rPr>
        <w:t xml:space="preserve">?format=bdp</w:t>
      </w:r>
      <w:r>
        <w:t xml:space="preserve">)</w:t>
      </w:r>
    </w:p>
    <w:p>
      <w:pPr>
        <w:pStyle w:val="Heading3"/>
      </w:pPr>
      <w:r>
        <w:t xml:space="preserve">RGPD</w:t>
      </w:r>
    </w:p>
    <w:p>
      <w:pPr>
        <w:pStyle w:val="ListParagraph"/>
        <w:numPr>
          <w:ilvl w:val="0"/>
          <w:numId w:val="1"/>
        </w:numPr>
      </w:pPr>
      <w:r>
        <w:t xml:space="preserve">[x] DPIA activa (Admin)</w:t>
      </w:r>
    </w:p>
    <w:p>
      <w:pPr>
        <w:pStyle w:val="ListParagraph"/>
        <w:numPr>
          <w:ilvl w:val="0"/>
          <w:numId w:val="1"/>
        </w:numPr>
      </w:pPr>
      <w:r>
        <w:t xml:space="preserve">[x] Audit trail imutável (trigger PostgreSQL)</w:t>
      </w:r>
    </w:p>
    <w:p>
      <w:pPr>
        <w:pStyle w:val="ListParagraph"/>
        <w:numPr>
          <w:ilvl w:val="0"/>
          <w:numId w:val="1"/>
        </w:numPr>
      </w:pPr>
      <w:r>
        <w:t xml:space="preserve">[x] Auto-approve apenas Low risk</w:t>
      </w:r>
    </w:p>
    <w:p>
      <w:pPr>
        <w:pStyle w:val="ListParagraph"/>
        <w:numPr>
          <w:ilvl w:val="0"/>
          <w:numId w:val="1"/>
        </w:numPr>
      </w:pPr>
      <w:r>
        <w:t xml:space="preserve">[x] Explainability relatório (Art. 22)</w:t>
      </w:r>
    </w:p>
    <w:p>
      <w:pPr>
        <w:pStyle w:val="Heading3"/>
      </w:pPr>
      <w:r>
        <w:t xml:space="preserve">Operacional</w:t>
      </w:r>
    </w:p>
    <w:p>
      <w:pPr>
        <w:pStyle w:val="ListParagraph"/>
        <w:numPr>
          <w:ilvl w:val="0"/>
          <w:numId w:val="1"/>
        </w:numPr>
      </w:pPr>
      <w:r>
        <w:t xml:space="preserve">[x] Health </w:t>
      </w:r>
      <w:r>
        <w:rPr>
          <w:rFonts w:ascii="Consolas" w:cs="Consolas" w:eastAsia="Consolas" w:hAnsi="Consolas"/>
          <w:sz w:val="20"/>
          <w:szCs w:val="20"/>
        </w:rPr>
        <w:t xml:space="preserve">/health</w:t>
      </w:r>
    </w:p>
    <w:p>
      <w:pPr>
        <w:pStyle w:val="ListParagraph"/>
        <w:numPr>
          <w:ilvl w:val="0"/>
          <w:numId w:val="1"/>
        </w:numPr>
      </w:pPr>
      <w:r>
        <w:t xml:space="preserve">[x] Secrets fora do repo (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template)</w:t>
      </w:r>
    </w:p>
    <w:p>
      <w:pPr>
        <w:pStyle w:val="ListParagraph"/>
        <w:numPr>
          <w:ilvl w:val="0"/>
          <w:numId w:val="1"/>
        </w:numPr>
      </w:pPr>
      <w:r>
        <w:t xml:space="preserve">[x] Deploy on-prem documentado</w:t>
      </w:r>
    </w:p>
    <w:p>
      <w:pPr>
        <w:pStyle w:val="ListParagraph"/>
        <w:numPr>
          <w:ilvl w:val="0"/>
          <w:numId w:val="1"/>
        </w:numPr>
      </w:pPr>
      <w:r>
        <w:t xml:space="preserve">[x] CI pipeline</w:t>
      </w:r>
    </w:p>
    <w:p>
      <w:r>
        <w:br w:type="page"/>
      </w:r>
    </w:p>
    <w:p>
      <w:pPr>
        <w:pStyle w:val="Heading2"/>
      </w:pPr>
      <w:r>
        <w:t xml:space="preserve">6. Pen test — Checklist homologação</w:t>
      </w:r>
    </w:p>
    <w:p>
      <w:pPr>
        <w:spacing w:after="80" w:before="80"/>
        <w:ind w:left="720"/>
      </w:pPr>
      <w:r>
        <w:t xml:space="preserve">Ferramenta sugerida: OWASP ZAP baseline ou revisão manual. </w:t>
      </w:r>
      <w:r>
        <w:rPr>
          <w:b/>
          <w:bCs/>
        </w:rPr>
        <w:t xml:space="preserve">Apenas homologação.</w:t>
      </w:r>
    </w:p>
    <w:p>
      <w:pPr>
        <w:pStyle w:val="Heading3"/>
      </w:pPr>
      <w:r>
        <w:t xml:space="preserve">Autenticação e autorização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rFonts w:ascii="Consolas" w:cs="Consolas" w:eastAsia="Consolas" w:hAnsi="Consolas"/>
          <w:sz w:val="20"/>
          <w:szCs w:val="20"/>
        </w:rPr>
        <w:t xml:space="preserve">/admin/*</w:t>
      </w:r>
      <w:r>
        <w:t xml:space="preserve"> sem </w:t>
      </w:r>
      <w:r>
        <w:rPr>
          <w:rFonts w:ascii="Consolas" w:cs="Consolas" w:eastAsia="Consolas" w:hAnsi="Consolas"/>
          <w:sz w:val="20"/>
          <w:szCs w:val="20"/>
        </w:rPr>
        <w:t xml:space="preserve">KYC.Admin</w:t>
      </w:r>
      <w:r>
        <w:t xml:space="preserve"> → 403</w:t>
      </w:r>
    </w:p>
    <w:p>
      <w:pPr>
        <w:pStyle w:val="ListParagraph"/>
        <w:numPr>
          <w:ilvl w:val="0"/>
          <w:numId w:val="1"/>
        </w:numPr>
      </w:pPr>
      <w:r>
        <w:t xml:space="preserve">[ ] APIs admin AML → </w:t>
      </w:r>
      <w:r>
        <w:rPr>
          <w:rFonts w:ascii="Consolas" w:cs="Consolas" w:eastAsia="Consolas" w:hAnsi="Consolas"/>
          <w:sz w:val="20"/>
          <w:szCs w:val="20"/>
        </w:rPr>
        <w:t xml:space="preserve">KYC.Admin</w:t>
      </w:r>
    </w:p>
    <w:p>
      <w:pPr>
        <w:pStyle w:val="ListParagraph"/>
        <w:numPr>
          <w:ilvl w:val="0"/>
          <w:numId w:val="1"/>
        </w:numPr>
      </w:pPr>
      <w:r>
        <w:t xml:space="preserve">[ ] Webhook identidade exige HMAC com secret definido</w:t>
      </w:r>
    </w:p>
    <w:p>
      <w:pPr>
        <w:pStyle w:val="ListParagraph"/>
        <w:numPr>
          <w:ilvl w:val="0"/>
          <w:numId w:val="1"/>
        </w:numPr>
      </w:pPr>
      <w:r>
        <w:t xml:space="preserve">[ ] IDOR caso alheio → 401/403</w:t>
      </w:r>
    </w:p>
    <w:p>
      <w:pPr>
        <w:pStyle w:val="Heading3"/>
      </w:pPr>
      <w:r>
        <w:t xml:space="preserve">Input e injecção</w:t>
      </w:r>
    </w:p>
    <w:p>
      <w:pPr>
        <w:pStyle w:val="ListParagraph"/>
        <w:numPr>
          <w:ilvl w:val="0"/>
          <w:numId w:val="1"/>
        </w:numPr>
      </w:pPr>
      <w:r>
        <w:t xml:space="preserve">[ ] SAR narrativa &amp;lt; 200 chars rejeitada server-side</w:t>
      </w:r>
    </w:p>
    <w:p>
      <w:pPr>
        <w:pStyle w:val="ListParagraph"/>
        <w:numPr>
          <w:ilvl w:val="0"/>
          <w:numId w:val="1"/>
        </w:numPr>
      </w:pPr>
      <w:r>
        <w:t xml:space="preserve">[ ] Upload: MIME e tamanho máximo</w:t>
      </w:r>
    </w:p>
    <w:p>
      <w:pPr>
        <w:pStyle w:val="ListParagraph"/>
        <w:numPr>
          <w:ilvl w:val="0"/>
          <w:numId w:val="1"/>
        </w:numPr>
      </w:pPr>
      <w:r>
        <w:t xml:space="preserve">[ ] NIF inválido → validação (sem 500)</w:t>
      </w:r>
    </w:p>
    <w:p>
      <w:pPr>
        <w:pStyle w:val="Heading3"/>
      </w:pPr>
      <w:r>
        <w:t xml:space="preserve">Dados sensíveis</w:t>
      </w:r>
    </w:p>
    <w:p>
      <w:pPr>
        <w:pStyle w:val="ListParagraph"/>
        <w:numPr>
          <w:ilvl w:val="0"/>
          <w:numId w:val="1"/>
        </w:numPr>
      </w:pPr>
      <w:r>
        <w:t xml:space="preserve">[ ] Secrets só env/Key Vault</w:t>
      </w:r>
    </w:p>
    <w:p>
      <w:pPr>
        <w:pStyle w:val="ListParagraph"/>
        <w:numPr>
          <w:ilvl w:val="0"/>
          <w:numId w:val="1"/>
        </w:numPr>
      </w:pPr>
      <w:r>
        <w:t xml:space="preserve">[ ] Logs sem API keys / PII completa</w:t>
      </w:r>
    </w:p>
    <w:p>
      <w:pPr>
        <w:pStyle w:val="ListParagraph"/>
        <w:numPr>
          <w:ilvl w:val="0"/>
          <w:numId w:val="1"/>
        </w:numPr>
      </w:pPr>
      <w:r>
        <w:t xml:space="preserve">[ ] PDF sem IDOR entre casos</w:t>
      </w:r>
    </w:p>
    <w:p>
      <w:pPr>
        <w:pStyle w:val="Heading3"/>
      </w:pPr>
      <w:r>
        <w:t xml:space="preserve">Transporte</w:t>
      </w:r>
    </w:p>
    <w:p>
      <w:pPr>
        <w:pStyle w:val="ListParagraph"/>
        <w:numPr>
          <w:ilvl w:val="0"/>
          <w:numId w:val="1"/>
        </w:numPr>
      </w:pPr>
      <w:r>
        <w:t xml:space="preserve">[ ] HTTPS em homologação/prod</w:t>
      </w:r>
    </w:p>
    <w:p>
      <w:pPr>
        <w:pStyle w:val="ListParagraph"/>
        <w:numPr>
          <w:ilvl w:val="0"/>
          <w:numId w:val="1"/>
        </w:numPr>
      </w:pPr>
      <w:r>
        <w:t xml:space="preserve">[ ] Cookies HttpOnly/Secure</w:t>
      </w:r>
    </w:p>
    <w:p>
      <w:pPr>
        <w:pStyle w:val="ListParagraph"/>
        <w:numPr>
          <w:ilvl w:val="0"/>
          <w:numId w:val="1"/>
        </w:numPr>
      </w:pPr>
      <w:r>
        <w:t xml:space="preserve">[ ] CORS restrito</w:t>
      </w:r>
    </w:p>
    <w:p>
      <w:pPr>
        <w:pStyle w:val="Heading3"/>
      </w:pPr>
      <w:r>
        <w:t xml:space="preserve">Dependências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rFonts w:ascii="Consolas" w:cs="Consolas" w:eastAsia="Consolas" w:hAnsi="Consolas"/>
          <w:sz w:val="20"/>
          <w:szCs w:val="20"/>
        </w:rPr>
        <w:t xml:space="preserve">dotnet list package --vulnerable</w:t>
      </w:r>
      <w:r>
        <w:t xml:space="preserve"> sem críticos</w:t>
      </w:r>
    </w:p>
    <w:p>
      <w:pPr>
        <w:pStyle w:val="ListParagraph"/>
        <w:numPr>
          <w:ilvl w:val="0"/>
          <w:numId w:val="1"/>
        </w:numPr>
      </w:pPr>
      <w:r>
        <w:t xml:space="preserve">[ ] Imagem Docker actualizada</w:t>
      </w:r>
    </w:p>
    <w:p>
      <w:pPr>
        <w:pStyle w:val="Heading3"/>
      </w:pPr>
      <w:r>
        <w:t xml:space="preserve">Regulatório smoke</w:t>
      </w:r>
    </w:p>
    <w:p>
      <w:pPr>
        <w:pStyle w:val="ListParagraph"/>
        <w:numPr>
          <w:ilvl w:val="0"/>
          <w:numId w:val="1"/>
        </w:numPr>
      </w:pPr>
      <w:r>
        <w:t xml:space="preserve">[ ] Trigger audit imutável</w:t>
      </w:r>
    </w:p>
    <w:p>
      <w:pPr>
        <w:pStyle w:val="ListParagraph"/>
        <w:numPr>
          <w:ilvl w:val="0"/>
          <w:numId w:val="1"/>
        </w:numPr>
      </w:pPr>
      <w:r>
        <w:t xml:space="preserve">[ ] PAC/scoring/DPIA activa não apagável (interceptor EF)</w:t>
      </w:r>
    </w:p>
    <w:p>
      <w:pPr>
        <w:pStyle w:val="Heading3"/>
      </w:pPr>
      <w:r>
        <w:t xml:space="preserve">Resultado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Executor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Críticos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Altos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Médios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Aprovado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 Sim ☐ Não</w:t>
            </w:r>
          </w:p>
        </w:tc>
      </w:tr>
    </w:tbl>
    <w:p/>
    <w:p>
      <w:r>
        <w:rPr>
          <w:b/>
          <w:bCs/>
        </w:rPr>
        <w:t xml:space="preserve">Evidência: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docs/dossier/10-seguranca/</w:t>
      </w:r>
    </w:p>
    <w:p>
      <w:r>
        <w:br w:type="page"/>
      </w:r>
    </w:p>
    <w:p>
      <w:pPr>
        <w:pStyle w:val="Heading2"/>
      </w:pPr>
      <w:r>
        <w:t xml:space="preserve">7. Dossier de evidências (go-live)</w:t>
      </w:r>
    </w:p>
    <w:p>
      <w:pPr>
        <w:pStyle w:val="Heading3"/>
      </w:pPr>
      <w:r>
        <w:t xml:space="preserve">Estrutura de pastas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docs/dossier/
  01-pac/           PAC activa (print Admin)
  02-dpia/          DPIA + documento
  03-scoring/       Versão scoring + hash prompt
  04-rpb/           XML BdP + JSON + ref. submissão
  05-sar-uif/       SAR + ref. UIF
  06-identidade/    Webhook + verificação party
  07-congelamento/  Notificação BdP
  08-audit/         Extract audit caso teste
  09-e2e/           Checklist E2E assinado
  10-seguranca/     Pen test preenchido</w:t>
      </w:r>
    </w:p>
    <w:p>
      <w:pPr>
        <w:pStyle w:val="Heading3"/>
      </w:pPr>
      <w:r>
        <w:t xml:space="preserve">Como gerar</w:t>
      </w:r>
    </w:p>
    <w:p>
      <w:pPr>
        <w:pStyle w:val="ListParagraph"/>
        <w:numPr>
          <w:ilvl w:val="0"/>
          <w:numId w:val="1"/>
        </w:numPr>
      </w:pPr>
      <w:r>
        <w:t xml:space="preserve">Executar cenários da secção 4</w:t>
      </w:r>
    </w:p>
    <w:p>
      <w:pPr>
        <w:pStyle w:val="ListParagraph"/>
        <w:numPr>
          <w:ilvl w:val="0"/>
          <w:numId w:val="1"/>
        </w:numPr>
      </w:pPr>
      <w:r>
        <w:t xml:space="preserve">Admin → Settings: captura PAC, scoring, DPIA</w:t>
      </w:r>
    </w:p>
    <w:p>
      <w:pPr>
        <w:pStyle w:val="ListParagraph"/>
        <w:numPr>
          <w:ilvl w:val="0"/>
          <w:numId w:val="1"/>
        </w:numPr>
      </w:pPr>
      <w:r>
        <w:t xml:space="preserve">Admin → RPB: gerar, exportar, submeter</w:t>
      </w:r>
    </w:p>
    <w:p>
      <w:pPr>
        <w:pStyle w:val="ListParagraph"/>
        <w:numPr>
          <w:ilvl w:val="0"/>
          <w:numId w:val="1"/>
        </w:numPr>
      </w:pPr>
      <w:r>
        <w:t xml:space="preserve">Caso com sanção: print congelamento + audit</w:t>
      </w:r>
    </w:p>
    <w:p>
      <w:pPr>
        <w:pStyle w:val="ListParagraph"/>
        <w:numPr>
          <w:ilvl w:val="0"/>
          <w:numId w:val="1"/>
        </w:numPr>
      </w:pPr>
      <w:r>
        <w:t xml:space="preserve">Nomear ficheiros com data: </w:t>
      </w:r>
      <w:r>
        <w:rPr>
          <w:rFonts w:ascii="Consolas" w:cs="Consolas" w:eastAsia="Consolas" w:hAnsi="Consolas"/>
          <w:sz w:val="20"/>
          <w:szCs w:val="20"/>
        </w:rPr>
        <w:t xml:space="preserve">RPB-2025-20260530.xml</w:t>
      </w:r>
    </w:p>
    <w:p>
      <w:pPr>
        <w:pStyle w:val="Heading3"/>
      </w:pPr>
      <w:r>
        <w:t xml:space="preserve">Responsáveis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p>
            <w:r>
              <w:t xml:space="preserve">Compliance / PAC</w:t>
            </w:r>
          </w:p>
        </w:tc>
        <w:tc>
          <w:p>
            <w:r>
              <w:t xml:space="preserve">Equipa compliance</w:t>
            </w:r>
          </w:p>
        </w:tc>
      </w:tr>
      <w:tr>
        <w:tc>
          <w:p>
            <w:r>
              <w:t xml:space="preserve">RPB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KYC.Admin</w:t>
            </w:r>
          </w:p>
        </w:tc>
      </w:tr>
      <w:tr>
        <w:tc>
          <w:p>
            <w:r>
              <w:t xml:space="preserve">Segurança</w:t>
            </w:r>
          </w:p>
        </w:tc>
        <w:tc>
          <w:p>
            <w:r>
              <w:t xml:space="preserve">Infra + pen test</w:t>
            </w:r>
          </w:p>
        </w:tc>
      </w:tr>
      <w:tr>
        <w:tc>
          <w:p>
            <w:r>
              <w:t xml:space="preserve">E2E</w:t>
            </w:r>
          </w:p>
        </w:tc>
        <w:tc>
          <w:p>
            <w:r>
              <w:t xml:space="preserve">Analista AML + QA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8. Quick start — Analista AML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Acesso</w:t>
      </w:r>
      <w:r>
        <w:t xml:space="preserve"> — URL homologação; roles Analyst / Supervisor /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Novo caso</w:t>
      </w:r>
      <w:r>
        <w:t xml:space="preserve"> — Casos → Novo; aguardar triagem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Conformidade</w:t>
      </w:r>
      <w:r>
        <w:t xml:space="preserve"> — Identidade UBO; EDD origem fundos; SAR se banner; RCBE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Aprovar</w:t>
      </w:r>
      <w:r>
        <w:t xml:space="preserve"> — Só se sem bloqueio </w:t>
      </w:r>
      <w:r>
        <w:rPr>
          <w:rFonts w:ascii="Consolas" w:cs="Consolas" w:eastAsia="Consolas" w:hAnsi="Consolas"/>
          <w:sz w:val="20"/>
          <w:szCs w:val="20"/>
        </w:rPr>
        <w:t xml:space="preserve">CanApproveMessage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Alertas</w:t>
      </w:r>
      <w:r>
        <w:t xml:space="preserve"> — SignalR; supervisores no grupo SAR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Referência</w:t>
      </w:r>
      <w:r>
        <w:t xml:space="preserve"> — Este documento + </w:t>
      </w:r>
      <w:r>
        <w:rPr>
          <w:u w:val="single"/>
        </w:rPr>
        <w:t xml:space="preserve">E2E_HOMOLOGACAO.md</w:t>
      </w:r>
    </w:p>
    <w:p>
      <w:r>
        <w:br w:type="page"/>
      </w:r>
    </w:p>
    <w:p>
      <w:pPr>
        <w:pStyle w:val="Heading2"/>
      </w:pPr>
      <w:r>
        <w:t xml:space="preserve">9. Dependências externas (go-live)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Entrega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Responsável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Bloqueia</w:t>
            </w:r>
          </w:p>
        </w:tc>
      </w:tr>
      <w:tr>
        <w:tc>
          <w:p>
            <w:r>
              <w:t xml:space="preserve">X1</w:t>
            </w:r>
          </w:p>
        </w:tc>
        <w:tc>
          <w:p>
            <w:r>
              <w:t xml:space="preserve">Template RPB oficial BdP</w:t>
            </w:r>
          </w:p>
        </w:tc>
        <w:tc>
          <w:p>
            <w:r>
              <w:t xml:space="preserve">Compliance</w:t>
            </w:r>
          </w:p>
        </w:tc>
        <w:tc>
          <w:p>
            <w:r>
              <w:t xml:space="preserve">Export XML final</w:t>
            </w:r>
          </w:p>
        </w:tc>
      </w:tr>
      <w:tr>
        <w:tc>
          <w:p>
            <w:r>
              <w:t xml:space="preserve">X2</w:t>
            </w:r>
          </w:p>
        </w:tc>
        <w:tc>
          <w:p>
            <w:r>
              <w:t xml:space="preserve">API / MOU UIF</w:t>
            </w:r>
          </w:p>
        </w:tc>
        <w:tc>
          <w:p>
            <w:r>
              <w:t xml:space="preserve">Instituição</w:t>
            </w:r>
          </w:p>
        </w:tc>
        <w:tc>
          <w:p>
            <w:r>
              <w:t xml:space="preserve">SAR produção</w:t>
            </w:r>
          </w:p>
        </w:tc>
      </w:tr>
      <w:tr>
        <w:tc>
          <w:p>
            <w:r>
              <w:t xml:space="preserve">X3</w:t>
            </w:r>
          </w:p>
        </w:tc>
        <w:tc>
          <w:p>
            <w:r>
              <w:t xml:space="preserve">Contrato identidade (DigitalSign/CMD)</w:t>
            </w:r>
          </w:p>
        </w:tc>
        <w:tc>
          <w:p>
            <w:r>
              <w:t xml:space="preserve">Prestador</w:t>
            </w:r>
          </w:p>
        </w:tc>
        <w:tc>
          <w:p>
            <w:r>
              <w:t xml:space="preserve">Verificação prod</w:t>
            </w:r>
          </w:p>
        </w:tc>
      </w:tr>
      <w:tr>
        <w:tc>
          <w:p>
            <w:r>
              <w:t xml:space="preserve">X4</w:t>
            </w:r>
          </w:p>
        </w:tc>
        <w:tc>
          <w:p>
            <w:r>
              <w:t xml:space="preserve">API congelamento BdP</w:t>
            </w:r>
          </w:p>
        </w:tc>
        <w:tc>
          <w:p>
            <w:r>
              <w:t xml:space="preserve">Instituição</w:t>
            </w:r>
          </w:p>
        </w:tc>
        <w:tc>
          <w:p>
            <w:r>
              <w:t xml:space="preserve">Notificação real</w:t>
            </w:r>
          </w:p>
        </w:tc>
      </w:tr>
      <w:tr>
        <w:tc>
          <w:p>
            <w:r>
              <w:t xml:space="preserve">X5</w:t>
            </w:r>
          </w:p>
        </w:tc>
        <w:tc>
          <w:p>
            <w:r>
              <w:t xml:space="preserve">PAC v1 assinada</w:t>
            </w:r>
          </w:p>
        </w:tc>
        <w:tc>
          <w:p>
            <w:r>
              <w:t xml:space="preserve">Compliance</w:t>
            </w:r>
          </w:p>
        </w:tc>
        <w:tc>
          <w:p>
            <w:r>
              <w:t xml:space="preserve">Homologação formal</w:t>
            </w:r>
          </w:p>
        </w:tc>
      </w:tr>
      <w:tr>
        <w:tc>
          <w:p>
            <w:r>
              <w:t xml:space="preserve">X6</w:t>
            </w:r>
          </w:p>
        </w:tc>
        <w:tc>
          <w:p>
            <w:r>
              <w:t xml:space="preserve">PDF DPIA DPO</w:t>
            </w:r>
          </w:p>
        </w:tc>
        <w:tc>
          <w:p>
            <w:r>
              <w:t xml:space="preserve">DPO</w:t>
            </w:r>
          </w:p>
        </w:tc>
        <w:tc>
          <w:p>
            <w:r>
              <w:t xml:space="preserve">RGPD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10. Próximos passos operacionais (ordem)</w:t>
      </w:r>
    </w:p>
    <w:p>
      <w:pPr>
        <w:pStyle w:val="ListParagraph"/>
        <w:numPr>
          <w:ilvl w:val="0"/>
          <w:numId w:val="1"/>
        </w:numPr>
      </w:pPr>
      <w:r>
        <w:t xml:space="preserve">Executar E2E (secção 4) e preencher tabela</w:t>
      </w:r>
    </w:p>
    <w:p>
      <w:pPr>
        <w:pStyle w:val="ListParagraph"/>
        <w:numPr>
          <w:ilvl w:val="0"/>
          <w:numId w:val="1"/>
        </w:numPr>
      </w:pPr>
      <w:r>
        <w:t xml:space="preserve">Preencher pen test (secção 6) → </w:t>
      </w:r>
      <w:r>
        <w:rPr>
          <w:rFonts w:ascii="Consolas" w:cs="Consolas" w:eastAsia="Consolas" w:hAnsi="Consolas"/>
          <w:sz w:val="20"/>
          <w:szCs w:val="20"/>
        </w:rPr>
        <w:t xml:space="preserve">dossier/10-seguranca/</w:t>
      </w:r>
    </w:p>
    <w:p>
      <w:pPr>
        <w:pStyle w:val="ListParagraph"/>
        <w:numPr>
          <w:ilvl w:val="0"/>
          <w:numId w:val="1"/>
        </w:numPr>
      </w:pPr>
      <w:r>
        <w:t xml:space="preserve">Credenciais X2–X4 em staging</w:t>
      </w:r>
    </w:p>
    <w:p>
      <w:pPr>
        <w:pStyle w:val="ListParagraph"/>
        <w:numPr>
          <w:ilvl w:val="0"/>
          <w:numId w:val="1"/>
        </w:numPr>
      </w:pPr>
      <w:r>
        <w:t xml:space="preserve">Template RPB X1 → actualizar </w:t>
      </w:r>
      <w:r>
        <w:rPr>
          <w:rFonts w:ascii="Consolas" w:cs="Consolas" w:eastAsia="Consolas" w:hAnsi="Consolas"/>
          <w:sz w:val="20"/>
          <w:szCs w:val="20"/>
        </w:rPr>
        <w:t xml:space="preserve">BdpRpbExporter.cs</w:t>
      </w:r>
    </w:p>
    <w:p>
      <w:pPr>
        <w:pStyle w:val="ListParagraph"/>
        <w:numPr>
          <w:ilvl w:val="0"/>
          <w:numId w:val="1"/>
        </w:numPr>
      </w:pPr>
      <w:r>
        <w:t xml:space="preserve">Go-live com </w:t>
      </w:r>
      <w:r>
        <w:rPr>
          <w:rFonts w:ascii="Consolas" w:cs="Consolas" w:eastAsia="Consolas" w:hAnsi="Consolas"/>
          <w:sz w:val="20"/>
          <w:szCs w:val="20"/>
        </w:rPr>
        <w:t xml:space="preserve">Compliance:RequireLiveIntegrations=true</w:t>
      </w:r>
    </w:p>
    <w:p>
      <w:r>
        <w:br w:type="page"/>
      </w:r>
    </w:p>
    <w:p>
      <w:pPr>
        <w:pStyle w:val="Heading2"/>
      </w:pPr>
      <w:r>
        <w:t xml:space="preserve">Documentos fonte (detalhe histórico)</w:t>
      </w:r>
    </w:p>
    <w:p>
      <w:r>
        <w:t xml:space="preserve">Os ficheiros abaixo permanecem no repositório; o conteúdo operacional relevante foi consolidado </w:t>
      </w:r>
      <w:r>
        <w:rPr>
          <w:b/>
          <w:bCs/>
        </w:rPr>
        <w:t xml:space="preserve">neste documento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DEPLOY_ONPREM.md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HOMOLOGACAO_RUNBOOK.md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E2E_HOMOLOGACAO.md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CHECKLIST_HOMOLOGACAO_BDP.md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PAC_RUNBOOK.md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SECURITY_PEN_TEST_CHECKLIST.md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ANALISTA_QUICK_START.md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dossier/README.md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Operações e Homologação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Operações e Homologação</dc:title>
  <dc:creator>KYC Platform</dc:creator>
  <dc:description>Deploy, runbooks, E2E e dossier</dc:description>
  <cp:lastModifiedBy>Un-named</cp:lastModifiedBy>
  <cp:revision>1</cp:revision>
  <dcterms:created xsi:type="dcterms:W3CDTF">2026-05-31T11:54:51.480Z</dcterms:created>
  <dcterms:modified xsi:type="dcterms:W3CDTF">2026-05-31T11:54:51.480Z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