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Documentação da Aplicação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Arquitectura, stack, APIs, UI e configuração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Documentação da Aplicação — KYC AI Platform</w:t>
      </w:r>
    </w:p>
    <w:p>
      <w:pPr>
        <w:spacing w:after="80" w:before="80"/>
        <w:ind w:left="720"/>
      </w:pPr>
      <w:r>
        <w:rPr>
          <w:b/>
          <w:bCs/>
        </w:rPr>
        <w:t xml:space="preserve">Versão do documento:</w:t>
      </w:r>
      <w:r>
        <w:t xml:space="preserve"> Maio 2026 · Branch </w:t>
      </w:r>
      <w:r>
        <w:rPr>
          <w:rFonts w:ascii="Consolas" w:cs="Consolas" w:eastAsia="Consolas" w:hAnsi="Consolas"/>
          <w:sz w:val="20"/>
          <w:szCs w:val="20"/>
        </w:rPr>
        <w:t xml:space="preserve">feature/kyc-document-ingestion</w:t>
      </w:r>
      <w:r>
        <w:t xml:space="preserve">   </w:t>
      </w:r>
      <w:r>
        <w:rPr>
          <w:b/>
          <w:bCs/>
        </w:rPr>
        <w:t xml:space="preserve">Stack:</w:t>
      </w:r>
      <w:r>
        <w:t xml:space="preserve"> .NET 9 · Blazor Server · PostgreSQL 16 + pgvector · Ollama (Qwen) · Workers   </w:t>
      </w:r>
      <w:r>
        <w:rPr>
          <w:b/>
          <w:bCs/>
        </w:rPr>
        <w:t xml:space="preserve">Âmbito:</w:t>
      </w:r>
      <w:r>
        <w:t xml:space="preserve"> documentação unificada para equipas técnicas, compliance e geração de manuais.</w:t>
      </w:r>
    </w:p>
    <w:p>
      <w:r>
        <w:br w:type="page"/>
      </w:r>
    </w:p>
    <w:p>
      <w:pPr>
        <w:pStyle w:val="Heading2"/>
      </w:pPr>
      <w:r>
        <w:t xml:space="preserve">1. Objectivo e âmbito</w:t>
      </w:r>
    </w:p>
    <w:p>
      <w:r>
        <w:t xml:space="preserve">A </w:t>
      </w:r>
      <w:r>
        <w:rPr>
          <w:b/>
          <w:bCs/>
        </w:rPr>
        <w:t xml:space="preserve">KYC AI Platform</w:t>
      </w:r>
      <w:r>
        <w:t xml:space="preserve"> automatiza o processo de Know Your Customer para crédito corporativo em Portugal:</w:t>
      </w:r>
    </w:p>
    <w:p>
      <w:pPr>
        <w:pStyle w:val="ListParagraph"/>
        <w:numPr>
          <w:ilvl w:val="0"/>
          <w:numId w:val="1"/>
        </w:numPr>
      </w:pPr>
      <w:r>
        <w:t xml:space="preserve">Resolução de entidades (RCBE, GLEIF) e grafo de beneficiários efectivos (UBO)</w:t>
      </w:r>
    </w:p>
    <w:p>
      <w:pPr>
        <w:pStyle w:val="ListParagraph"/>
        <w:numPr>
          <w:ilvl w:val="0"/>
          <w:numId w:val="1"/>
        </w:numPr>
      </w:pPr>
      <w:r>
        <w:t xml:space="preserve">Triagem paralela: sanções, PEP, adverse media, dados financeiros e judiciais, ICIJ</w:t>
      </w:r>
    </w:p>
    <w:p>
      <w:pPr>
        <w:pStyle w:val="ListParagraph"/>
        <w:numPr>
          <w:ilvl w:val="0"/>
          <w:numId w:val="1"/>
        </w:numPr>
      </w:pPr>
      <w:r>
        <w:t xml:space="preserve">Ingestão e extracção de documentos (PDF, DOCX, imagens)</w:t>
      </w:r>
    </w:p>
    <w:p>
      <w:pPr>
        <w:pStyle w:val="ListParagraph"/>
        <w:numPr>
          <w:ilvl w:val="0"/>
          <w:numId w:val="1"/>
        </w:numPr>
      </w:pPr>
      <w:r>
        <w:t xml:space="preserve">Scoring de risco (0–100) e relatório narrativo com explainability (RGPD Art. 22)</w:t>
      </w:r>
    </w:p>
    <w:p>
      <w:pPr>
        <w:pStyle w:val="ListParagraph"/>
        <w:numPr>
          <w:ilvl w:val="0"/>
          <w:numId w:val="1"/>
        </w:numPr>
      </w:pPr>
      <w:r>
        <w:t xml:space="preserve">Workflow analista/supervisor com conformidade </w:t>
      </w:r>
      <w:r>
        <w:rPr>
          <w:b/>
          <w:bCs/>
        </w:rPr>
        <w:t xml:space="preserve">BdP</w:t>
      </w:r>
      <w:r>
        <w:t xml:space="preserve"> (Lei 83/2017, Aviso 1/2022, Instr. 8/2024, Lei 97/2017)</w:t>
      </w:r>
    </w:p>
    <w:p>
      <w:r>
        <w:rPr>
          <w:b/>
          <w:bCs/>
        </w:rPr>
        <w:t xml:space="preserve">Público-alvo deste documento:</w:t>
      </w:r>
      <w:r>
        <w:t xml:space="preserve"> desenvolvimento, arquitectura, compliance, operações, documentação formal.</w:t>
      </w:r>
    </w:p>
    <w:p>
      <w:r>
        <w:br w:type="page"/>
      </w:r>
    </w:p>
    <w:p>
      <w:pPr>
        <w:pStyle w:val="Heading2"/>
      </w:pPr>
      <w:r>
        <w:t xml:space="preserve">2. Arquitectura</w:t>
      </w:r>
    </w:p>
    <w:p>
      <w:pPr>
        <w:pStyle w:val="Heading3"/>
      </w:pPr>
      <w:r>
        <w:t xml:space="preserve">2.1 Clean Architecture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
├── KYC.Domain/           Entidades, enums, value objects, eventos de domínio
├── KYC.Application/      Commands/Queries MediatR, DTOs, interfaces, políticas
├── KYC.Infrastructure/   EF Core, HTTP clients, LLM, compliance, messaging
├── KYC.Web/              Blazor Server, páginas, componentes, APIs minimal
└── KYC.Workers/          Hosted services (listas OFAC/EU, retenção, etc.)
tests/
├── KYC.Domain.Tests/
├── KYC.Application.Tests/
├── KYC.Integration.Tests/
└── KYC.Web.Integration.Tests/</w:t>
      </w:r>
    </w:p>
    <w:p>
      <w:r>
        <w:rPr>
          <w:b/>
          <w:bCs/>
        </w:rPr>
        <w:t xml:space="preserve">Regras de dependência:</w:t>
      </w:r>
      <w:r>
        <w:t xml:space="preserve"> Domain → nada; Application → Domain; Infrastructure → Application + Domain; Web → Application (regista DI de Infrastructure em </w:t>
      </w:r>
      <w:r>
        <w:rPr>
          <w:rFonts w:ascii="Consolas" w:cs="Consolas" w:eastAsia="Consolas" w:hAnsi="Consolas"/>
          <w:sz w:val="20"/>
          <w:szCs w:val="20"/>
        </w:rPr>
        <w:t xml:space="preserve">Program.cs</w:t>
      </w:r>
      <w:r>
        <w:t xml:space="preserve">).</w:t>
      </w:r>
    </w:p>
    <w:p>
      <w:pPr>
        <w:pStyle w:val="Heading3"/>
      </w:pPr>
      <w:r>
        <w:t xml:space="preserve">2.2 Fluxo principal de um caso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NIF + montante + relação (ocasional/continuada)
  → Validação PAC (antes de persistir)
  → KycCase InProgress
  → Entity resolution (GLEIF / RCBE)
  → UBO graph (GLEIF Level 2 + partes do caso)
  → Pipeline paralelo: sanções, media, AT, CITIUS, ICIJ, scoring Ollama
  → RiskSignals + RiskScore
  → Relatório narrativo (8 secções + Art. 22)
  → Workflow: auto-approve (Low) | revisão | aprovação/rejeição
  → Audit trail append-only</w:t>
      </w:r>
    </w:p>
    <w:p>
      <w:pPr>
        <w:pStyle w:val="Heading3"/>
      </w:pPr>
      <w:r>
        <w:t xml:space="preserve">2.3 Fluxo de ingestão de documentos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Upload UI/API → CaseDocument (Pending) → ficheiro em Data/cases/{caseId}/documents/
  → DocumentIngestionHostedService (channel)
  → PdfPig | OpenXML | Qwen visão
  → DocumentFieldExtractor + mapper → facts/parties na BD
  → DocumentConsistencyChecker → sinais de inconsistência
  → Opcional: re-triagem automática do caso</w:t>
      </w:r>
    </w:p>
    <w:p>
      <w:r>
        <w:br w:type="page"/>
      </w:r>
    </w:p>
    <w:p>
      <w:pPr>
        <w:pStyle w:val="Heading2"/>
      </w:pPr>
      <w:r>
        <w:t xml:space="preserve">3. Stack tecnológica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</w:tr>
      <w:tr>
        <w:tc>
          <w:p>
            <w:r>
              <w:t xml:space="preserve">Runtime</w:t>
            </w:r>
          </w:p>
        </w:tc>
        <w:tc>
          <w:p>
            <w:r>
              <w:t xml:space="preserve">.NET 9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Blazor Server, Bootstrap, SignalR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KycHub</w:t>
            </w:r>
            <w:r>
              <w:t xml:space="preserve">)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Minimal APIs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Program.cs</w:t>
            </w:r>
            <w:r>
              <w:t xml:space="preserve">), webhook identidade</w:t>
            </w:r>
          </w:p>
        </w:tc>
      </w:tr>
      <w:tr>
        <w:tc>
          <w:p>
            <w:r>
              <w:t xml:space="preserve">ORM</w:t>
            </w:r>
          </w:p>
        </w:tc>
        <w:tc>
          <w:p>
            <w:r>
              <w:t xml:space="preserve">EF Core 9, PostgreSQL 16, pgvector</w:t>
            </w:r>
          </w:p>
        </w:tc>
      </w:tr>
      <w:tr>
        <w:tc>
          <w:p>
            <w:r>
              <w:t xml:space="preserve">CQRS</w:t>
            </w:r>
          </w:p>
        </w:tc>
        <w:tc>
          <w:p>
            <w:r>
              <w:t xml:space="preserve">MediatR</w:t>
            </w:r>
          </w:p>
        </w:tc>
      </w:tr>
      <w:tr>
        <w:tc>
          <w:p>
            <w:r>
              <w:t xml:space="preserve">LLM</w:t>
            </w:r>
          </w:p>
        </w:tc>
        <w:tc>
          <w:p>
            <w:r>
              <w:t xml:space="preserve">Semantic Kernel + Ollama (Qwen3.5) — </w:t>
            </w:r>
            <w:r>
              <w:rPr>
                <w:b/>
                <w:bCs/>
              </w:rPr>
              <w:t xml:space="preserve">sem Claude em produção actual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Microsoft Entra ID (OIDC) ou ASP.NET Identity (dev)</w:t>
            </w:r>
          </w:p>
        </w:tc>
      </w:tr>
      <w:tr>
        <w:tc>
          <w:p>
            <w:r>
              <w:t xml:space="preserve">Secrets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 / Azure Key Vault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KYC_KEYVAULT_NAME</w:t>
            </w:r>
            <w:r>
              <w:t xml:space="preserve">)</w:t>
            </w:r>
          </w:p>
        </w:tc>
      </w:tr>
      <w:tr>
        <w:tc>
          <w:p>
            <w:r>
              <w:t xml:space="preserve">Messaging</w:t>
            </w:r>
          </w:p>
        </w:tc>
        <w:tc>
          <w:p>
            <w:r>
              <w:t xml:space="preserve">Azure Service Bus, RabbitMQ ou in-memory</w:t>
            </w:r>
          </w:p>
        </w:tc>
      </w:tr>
      <w:tr>
        <w:tc>
          <w:p>
            <w:r>
              <w:t xml:space="preserve">PDF relatório</w:t>
            </w:r>
          </w:p>
        </w:tc>
        <w:tc>
          <w:p>
            <w:r>
              <w:t xml:space="preserve">Puppeteer</w:t>
            </w:r>
          </w:p>
        </w:tc>
      </w:tr>
      <w:tr>
        <w:tc>
          <w:p>
            <w:r>
              <w:t xml:space="preserve">CI</w:t>
            </w:r>
          </w:p>
        </w:tc>
        <w:tc>
          <w:p>
            <w:r>
              <w:t xml:space="preserve">GitHub Actions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.github/workflows/ci.yml</w:t>
            </w:r>
            <w:r>
              <w:t xml:space="preserve">)</w:t>
            </w:r>
          </w:p>
        </w:tc>
      </w:tr>
      <w:tr>
        <w:tc>
          <w:p>
            <w:r>
              <w:t xml:space="preserve">Deploy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docker-compose.prod.yml</w:t>
            </w:r>
            <w:r>
              <w:t xml:space="preserve"> on-prem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4. Autenticação e autorização</w:t>
      </w:r>
    </w:p>
    <w:p>
      <w:pPr>
        <w:pStyle w:val="Heading3"/>
      </w:pPr>
      <w:r>
        <w:t xml:space="preserve">4.1 Modos de autenticação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Produção/homologação: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AzureAd:Enabled=true</w:t>
      </w:r>
      <w:r>
        <w:t xml:space="preserve"> — OIDC Entra ID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Desenvolvimento:</w:t>
      </w:r>
      <w:r>
        <w:t xml:space="preserve"> Identity + PostgreSQL (</w:t>
      </w:r>
      <w:r>
        <w:rPr>
          <w:rFonts w:ascii="Consolas" w:cs="Consolas" w:eastAsia="Consolas" w:hAnsi="Consolas"/>
          <w:sz w:val="20"/>
          <w:szCs w:val="20"/>
        </w:rPr>
        <w:t xml:space="preserve">AuthDbContext</w:t>
      </w:r>
      <w:r>
        <w:t xml:space="preserve">), seed admin</w:t>
      </w:r>
    </w:p>
    <w:p>
      <w:pPr>
        <w:pStyle w:val="Heading3"/>
      </w:pPr>
      <w:r>
        <w:t xml:space="preserve">4.2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Permissões típicas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KYC.Analyst</w:t>
            </w:r>
          </w:p>
        </w:tc>
        <w:tc>
          <w:p>
            <w:r>
              <w:t xml:space="preserve">Casos, triagem, conformidade, SAR (submissão), documentos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KYC.Supervisor</w:t>
            </w:r>
          </w:p>
        </w:tc>
        <w:tc>
          <w:p>
            <w:r>
              <w:t xml:space="preserve">Aprovação 4-eyes EDD, alertas SAR SignalR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KYC.Admin</w:t>
            </w:r>
          </w:p>
        </w:tc>
        <w:tc>
          <w:p>
            <w:r>
              <w:t xml:space="preserve">PAC, scoring, DPIA, RPB, audit log, settings</w:t>
            </w:r>
          </w:p>
        </w:tc>
      </w:tr>
    </w:tbl>
    <w:p/>
    <w:p>
      <w:r>
        <w:t xml:space="preserve">Políticas em </w:t>
      </w:r>
      <w:r>
        <w:rPr>
          <w:rFonts w:ascii="Consolas" w:cs="Consolas" w:eastAsia="Consolas" w:hAnsi="Consolas"/>
          <w:sz w:val="20"/>
          <w:szCs w:val="20"/>
        </w:rPr>
        <w:t xml:space="preserve">Program.cs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Analyst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Supervisor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.</w:t>
      </w:r>
    </w:p>
    <w:p>
      <w:pPr>
        <w:pStyle w:val="Heading3"/>
      </w:pPr>
      <w:r>
        <w:t xml:space="preserve">4.3 Identificação do analista</w:t>
      </w:r>
    </w:p>
    <w:p>
      <w:r>
        <w:rPr>
          <w:rFonts w:ascii="Consolas" w:cs="Consolas" w:eastAsia="Consolas" w:hAnsi="Consolas"/>
          <w:sz w:val="20"/>
          <w:szCs w:val="20"/>
        </w:rPr>
        <w:t xml:space="preserve">ICurrentAnalystAccessor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HttpContextAnalystAccessor</w:t>
      </w:r>
      <w:r>
        <w:t xml:space="preserve"> — ID do utilizador autenticado em comandos de audit (substitui </w:t>
      </w:r>
      <w:r>
        <w:rPr>
          <w:rFonts w:ascii="Consolas" w:cs="Consolas" w:eastAsia="Consolas" w:hAnsi="Consolas"/>
          <w:sz w:val="20"/>
          <w:szCs w:val="20"/>
        </w:rPr>
        <w:t xml:space="preserve">dev-user</w:t>
      </w:r>
      <w:r>
        <w:t xml:space="preserve">).</w:t>
      </w:r>
    </w:p>
    <w:p>
      <w:r>
        <w:br w:type="page"/>
      </w:r>
    </w:p>
    <w:p>
      <w:pPr>
        <w:pStyle w:val="Heading2"/>
      </w:pPr>
      <w:r>
        <w:t xml:space="preserve">5. Modelo de domínio (resumo)</w:t>
      </w:r>
    </w:p>
    <w:p>
      <w:pPr>
        <w:pStyle w:val="Heading3"/>
      </w:pPr>
      <w:r>
        <w:t xml:space="preserve">5.1 KycCase</w:t>
      </w:r>
    </w:p>
    <w:p>
      <w:r>
        <w:t xml:space="preserve">Estados: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InProgress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UnderReview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Approved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Rejected</w:t>
      </w:r>
      <w:r>
        <w:t xml:space="preserve">.</w:t>
      </w:r>
    </w:p>
    <w:p>
      <w:r>
        <w:t xml:space="preserve">Campos regulatórios: </w:t>
      </w:r>
      <w:r>
        <w:rPr>
          <w:rFonts w:ascii="Consolas" w:cs="Consolas" w:eastAsia="Consolas" w:hAnsi="Consolas"/>
          <w:sz w:val="20"/>
          <w:szCs w:val="20"/>
        </w:rPr>
        <w:t xml:space="preserve">DueDiligenceLevel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RelationshipType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SarStatus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NextReviewDue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FundsOriginDescription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AssetFreezeNotified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LegalBasisRef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ScoringEngineVersion</w:t>
      </w:r>
      <w:r>
        <w:t xml:space="preserve">, etc.</w:t>
      </w:r>
    </w:p>
    <w:p>
      <w:pPr>
        <w:pStyle w:val="Heading3"/>
      </w:pPr>
      <w:r>
        <w:t xml:space="preserve">5.2 CaseParty (entidades do caso)</w:t>
      </w:r>
    </w:p>
    <w:p>
      <w:r>
        <w:t xml:space="preserve">Papéis: </w:t>
      </w:r>
      <w:r>
        <w:rPr>
          <w:rFonts w:ascii="Consolas" w:cs="Consolas" w:eastAsia="Consolas" w:hAnsi="Consolas"/>
          <w:sz w:val="20"/>
          <w:szCs w:val="20"/>
        </w:rPr>
        <w:t xml:space="preserve">Target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Shareholder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Ubo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BoardMember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Proxy</w:t>
      </w:r>
      <w:r>
        <w:t xml:space="preserve">.</w:t>
      </w:r>
    </w:p>
    <w:p>
      <w:r>
        <w:t xml:space="preserve">Flags: </w:t>
      </w:r>
      <w:r>
        <w:rPr>
          <w:rFonts w:ascii="Consolas" w:cs="Consolas" w:eastAsia="Consolas" w:hAnsi="Consolas"/>
          <w:sz w:val="20"/>
          <w:szCs w:val="20"/>
        </w:rPr>
        <w:t xml:space="preserve">IsPep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IsSanctioned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IsOffshore</w:t>
      </w:r>
      <w:r>
        <w:t xml:space="preserve">.</w:t>
      </w:r>
    </w:p>
    <w:p>
      <w:r>
        <w:t xml:space="preserve">Identidade: </w:t>
      </w:r>
      <w:r>
        <w:rPr>
          <w:rFonts w:ascii="Consolas" w:cs="Consolas" w:eastAsia="Consolas" w:hAnsi="Consolas"/>
          <w:sz w:val="20"/>
          <w:szCs w:val="20"/>
        </w:rPr>
        <w:t xml:space="preserve">VerificationStatus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VerificationMethod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VerificationSessionId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VerificationUrl</w:t>
      </w:r>
      <w:r>
        <w:t xml:space="preserve">.</w:t>
      </w:r>
    </w:p>
    <w:p>
      <w:r>
        <w:t xml:space="preserve">RCBE: </w:t>
      </w:r>
      <w:r>
        <w:rPr>
          <w:rFonts w:ascii="Consolas" w:cs="Consolas" w:eastAsia="Consolas" w:hAnsi="Consolas"/>
          <w:sz w:val="20"/>
          <w:szCs w:val="20"/>
        </w:rPr>
        <w:t xml:space="preserve">RcbeDiscrepancyDetected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RcbeDiscrepancyReported</w:t>
      </w:r>
      <w:r>
        <w:t xml:space="preserve">.</w:t>
      </w:r>
    </w:p>
    <w:p>
      <w:pPr>
        <w:pStyle w:val="Heading3"/>
      </w:pPr>
      <w:r>
        <w:t xml:space="preserve">5.3 Artefactos associados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RiskSignal</w:t>
      </w:r>
      <w:r>
        <w:t xml:space="preserve"> — tipo, severidade, fonte, confirmação analista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KycReport</w:t>
      </w:r>
      <w:r>
        <w:t xml:space="preserve"> — relatório final + embeddings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CaseDocument</w:t>
      </w:r>
      <w:r>
        <w:t xml:space="preserve"> — ingestão e extracção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AuditEntry</w:t>
      </w:r>
      <w:r>
        <w:t xml:space="preserve"> — imutável (trigger PostgreSQL)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CustomerAcceptancePolicy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ScoringEngineConfig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DpiaRecord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AmlComplianceReport</w:t>
      </w:r>
    </w:p>
    <w:p>
      <w:r>
        <w:br w:type="page"/>
      </w:r>
    </w:p>
    <w:p>
      <w:pPr>
        <w:pStyle w:val="Heading2"/>
      </w:pPr>
      <w:r>
        <w:t xml:space="preserve">6. Camada Application — use cases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Commands / Queries (exemplos)</w:t>
            </w:r>
          </w:p>
        </w:tc>
      </w:tr>
      <w:tr>
        <w:tc>
          <w:p>
            <w:r>
              <w:t xml:space="preserve">Casos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StartKycCaseCommand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GetKycCaseQuery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ListKycCasesQuery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ApproveKycCaseCommand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RejectKycCaseCommand</w:t>
            </w:r>
          </w:p>
        </w:tc>
      </w:tr>
      <w:tr>
        <w:tc>
          <w:p>
            <w:r>
              <w:t xml:space="preserve">Triagem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RerunKycCaseScreeningCommand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ScreenCasePartyCommand</w:t>
            </w:r>
          </w:p>
        </w:tc>
      </w:tr>
      <w:tr>
        <w:tc>
          <w:p>
            <w:r>
              <w:t xml:space="preserve">Partes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AddCasePartyCommand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ConfirmRiskSignalCommand</w:t>
            </w:r>
          </w:p>
        </w:tc>
      </w:tr>
      <w:tr>
        <w:tc>
          <w:p>
            <w:r>
              <w:t xml:space="preserve">Documentos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UploadCaseDocumentCommand</w:t>
            </w:r>
            <w:r>
              <w:t xml:space="preserve">, pipeline ingestão</w:t>
            </w:r>
          </w:p>
        </w:tc>
      </w:tr>
      <w:tr>
        <w:tc>
          <w:p>
            <w:r>
              <w:t xml:space="preserve">UBO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GetUboGraphQuery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UboGraphViewDto</w:t>
            </w:r>
          </w:p>
        </w:tc>
      </w:tr>
      <w:tr>
        <w:tc>
          <w:p>
            <w:r>
              <w:t xml:space="preserve">Compliance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SubmitSarCommand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MarkSarNotRequiredCommand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InitiateEntityVerificationCommand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RecordPresentialVerificationCommand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SetFundsOriginCommand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RegisterManualUifReferenceCommand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CreateCustomerAcceptancePolicyCommand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GenerateAnnualReportCommand</w:t>
            </w:r>
            <w:r>
              <w:t xml:space="preserve">, DPIA upload</w:t>
            </w:r>
          </w:p>
        </w:tc>
      </w:tr>
      <w:tr>
        <w:tc>
          <w:p>
            <w:r>
              <w:t xml:space="preserve">Relatório</w:t>
            </w:r>
          </w:p>
        </w:tc>
        <w:tc>
          <w:p>
            <w:r>
              <w:t xml:space="preserve">Geração PDF, export RPB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7. Integrações externas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Integração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Configuração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Modo dev</w:t>
            </w:r>
          </w:p>
        </w:tc>
      </w:tr>
      <w:tr>
        <w:tc>
          <w:p>
            <w:r>
              <w:t xml:space="preserve">GLEIF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IEntityResolutionService</w:t>
            </w:r>
          </w:p>
        </w:tc>
        <w:tc>
          <w:p>
            <w:r>
              <w:t xml:space="preserve">API pública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RCBE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IRcbeRegistryService</w:t>
            </w:r>
          </w:p>
        </w:tc>
        <w:tc>
          <w:p>
            <w:r>
              <w:t xml:space="preserve">URL configurável</w:t>
            </w:r>
          </w:p>
        </w:tc>
        <w:tc>
          <w:p>
            <w:r>
              <w:t xml:space="preserve">Fallback / mock</w:t>
            </w:r>
          </w:p>
        </w:tc>
      </w:tr>
      <w:tr>
        <w:tc>
          <w:p>
            <w:r>
              <w:t xml:space="preserve">OFAC / EU sanctions</w:t>
            </w:r>
          </w:p>
        </w:tc>
        <w:tc>
          <w:p>
            <w:r>
              <w:t xml:space="preserve">Workers + índice local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Data/ofac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Data/eu-fsf</w:t>
            </w:r>
          </w:p>
        </w:tc>
        <w:tc>
          <w:p>
            <w:r>
              <w:t xml:space="preserve">Download periódico</w:t>
            </w:r>
          </w:p>
        </w:tc>
      </w:tr>
      <w:tr>
        <w:tc>
          <w:p>
            <w:r>
              <w:t xml:space="preserve">Ollama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ILlmCompletionService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OLLAMA_ENDPOINT</w:t>
            </w:r>
          </w:p>
        </w:tc>
        <w:tc>
          <w:p>
            <w:r>
              <w:t xml:space="preserve">Local</w:t>
            </w:r>
          </w:p>
        </w:tc>
      </w:tr>
      <w:tr>
        <w:tc>
          <w:p>
            <w:r>
              <w:t xml:space="preserve">Identidade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IIdentityVerificationService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IdentityVerification:*</w:t>
            </w:r>
          </w:p>
        </w:tc>
        <w:tc>
          <w:p>
            <w:r>
              <w:t xml:space="preserve">Stub se sem URL</w:t>
            </w:r>
          </w:p>
        </w:tc>
      </w:tr>
      <w:tr>
        <w:tc>
          <w:p>
            <w:r>
              <w:t xml:space="preserve">UIF (SAR)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IUifReportingService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Uif:*</w:t>
            </w:r>
          </w:p>
        </w:tc>
        <w:tc>
          <w:p>
            <w:r>
              <w:t xml:space="preserve">Ref. sintética</w:t>
            </w:r>
          </w:p>
        </w:tc>
      </w:tr>
      <w:tr>
        <w:tc>
          <w:p>
            <w:r>
              <w:t xml:space="preserve">Congelamento BdP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IAssetFreezeNotificationService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BdpAssetFreeze:*</w:t>
            </w:r>
          </w:p>
        </w:tc>
        <w:tc>
          <w:p>
            <w:r>
              <w:t xml:space="preserve">Log only</w:t>
            </w:r>
          </w:p>
        </w:tc>
      </w:tr>
      <w:tr>
        <w:tc>
          <w:p>
            <w:r>
              <w:t xml:space="preserve">Adverse media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IAdverseMediaService</w:t>
            </w:r>
          </w:p>
        </w:tc>
        <w:tc>
          <w:p>
            <w:r>
              <w:t xml:space="preserve">NewsAPI, etc.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AT devedores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ITaxDebtorsService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CITIUS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ICitiusClient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ICIJ</w:t>
            </w:r>
          </w:p>
        </w:tc>
        <w:tc>
          <w:p>
            <w:r>
              <w:t xml:space="preserve">GraphQL offshore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Entra Graph</w:t>
            </w:r>
          </w:p>
        </w:tc>
        <w:tc>
          <w:p>
            <w:r>
              <w:t xml:space="preserve">Supervisores EDD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Compliance:SupervisorGroupObjectId</w:t>
            </w:r>
          </w:p>
        </w:tc>
        <w:tc>
          <w:p>
            <w:r>
              <w:t xml:space="preserve">Lista manual</w:t>
            </w:r>
          </w:p>
        </w:tc>
      </w:tr>
    </w:tbl>
    <w:p/>
    <w:p>
      <w:r>
        <w:rPr>
          <w:b/>
          <w:bCs/>
        </w:rPr>
        <w:t xml:space="preserve">Produção: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Compliance:RequireLiveIntegrations=true</w:t>
      </w:r>
      <w:r>
        <w:t xml:space="preserve"> (default em Production) — bloqueia referências </w:t>
      </w:r>
      <w:r>
        <w:rPr>
          <w:rFonts w:ascii="Consolas" w:cs="Consolas" w:eastAsia="Consolas" w:hAnsi="Consolas"/>
          <w:sz w:val="20"/>
          <w:szCs w:val="20"/>
        </w:rPr>
        <w:t xml:space="preserve">local-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UIF-DEV</w:t>
      </w:r>
      <w:r>
        <w:t xml:space="preserve"> e exige URLs reais.</w:t>
      </w:r>
    </w:p>
    <w:p>
      <w:r>
        <w:br w:type="page"/>
      </w:r>
    </w:p>
    <w:p>
      <w:pPr>
        <w:pStyle w:val="Heading2"/>
      </w:pPr>
      <w:r>
        <w:t xml:space="preserve">8. APIs e endpoints relevantes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/health</w:t>
            </w:r>
          </w:p>
        </w:tc>
        <w:tc>
          <w:p>
            <w:r>
              <w:t xml:space="preserve">Health check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/api/identity/webhook</w:t>
            </w:r>
          </w:p>
        </w:tc>
        <w:tc>
          <w:p>
            <w:r>
              <w:t xml:space="preserve">Callback verificação (HMAC opcional)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/api/cases/{id}/report.pdf</w:t>
            </w:r>
          </w:p>
        </w:tc>
        <w:tc>
          <w:p>
            <w:r>
              <w:t xml:space="preserve">Export PDF relatório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/api/admin/aml-reports/...</w:t>
            </w:r>
          </w:p>
        </w:tc>
        <w:tc>
          <w:p>
            <w:r>
              <w:t xml:space="preserve">Export RPB (JSON/XML BdP)</w:t>
            </w:r>
          </w:p>
        </w:tc>
      </w:tr>
    </w:tbl>
    <w:p/>
    <w:p>
      <w:r>
        <w:t xml:space="preserve">Upload documentos: multipart via Application/Web (ver handlers de upload).</w:t>
      </w:r>
    </w:p>
    <w:p>
      <w:r>
        <w:br w:type="page"/>
      </w:r>
    </w:p>
    <w:p>
      <w:pPr>
        <w:pStyle w:val="Heading2"/>
      </w:pPr>
      <w:r>
        <w:t xml:space="preserve">9. Interface utilizador (mapa de páginas)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Página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KPIs, casos recentes, SignalR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</w:t>
            </w:r>
          </w:p>
        </w:tc>
        <w:tc>
          <w:p>
            <w:r>
              <w:t xml:space="preserve">CaseList</w:t>
            </w:r>
          </w:p>
        </w:tc>
        <w:tc>
          <w:p>
            <w:r>
              <w:t xml:space="preserve">Carteira com score, DDC, SAR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/cases/new</w:t>
            </w:r>
          </w:p>
        </w:tc>
        <w:tc>
          <w:p>
            <w:r>
              <w:t xml:space="preserve">NewCase</w:t>
            </w:r>
          </w:p>
        </w:tc>
        <w:tc>
          <w:p>
            <w:r>
              <w:t xml:space="preserve">Abertura com PAC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</w:t>
            </w:r>
          </w:p>
        </w:tc>
        <w:tc>
          <w:p>
            <w:r>
              <w:t xml:space="preserve">CaseDetail</w:t>
            </w:r>
          </w:p>
        </w:tc>
        <w:tc>
          <w:p>
            <w:r>
              <w:t xml:space="preserve">Hero, conformidade, UBO embed, partes, documentos, acções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/cases/{id}/ubo</w:t>
            </w:r>
          </w:p>
        </w:tc>
        <w:tc>
          <w:p>
            <w:r>
              <w:t xml:space="preserve">UboGraph</w:t>
            </w:r>
          </w:p>
        </w:tc>
        <w:tc>
          <w:p>
            <w:r>
              <w:t xml:space="preserve">Grafo UBO completo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/cases/{id}/report</w:t>
            </w:r>
          </w:p>
        </w:tc>
        <w:tc>
          <w:p>
            <w:r>
              <w:t xml:space="preserve">Relatório HTML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/cases/{id}/parties/{partyId}</w:t>
            </w:r>
          </w:p>
        </w:tc>
        <w:tc>
          <w:p>
            <w:r>
              <w:t xml:space="preserve">CasePartyDetail</w:t>
            </w:r>
          </w:p>
        </w:tc>
        <w:tc>
          <w:p>
            <w:r>
              <w:t xml:space="preserve">Triagem por parte + identidade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/admin/settings</w:t>
            </w:r>
          </w:p>
        </w:tc>
        <w:tc>
          <w:p>
            <w:r>
              <w:t xml:space="preserve">Settings</w:t>
            </w:r>
          </w:p>
        </w:tc>
        <w:tc>
          <w:p>
            <w:r>
              <w:t xml:space="preserve">PAC, scoring, DPIA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/admin/aml-report</w:t>
            </w:r>
          </w:p>
        </w:tc>
        <w:tc>
          <w:p>
            <w:r>
              <w:t xml:space="preserve">AmlReport</w:t>
            </w:r>
          </w:p>
        </w:tc>
        <w:tc>
          <w:p>
            <w:r>
              <w:t xml:space="preserve">RPB anual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/admin/audit</w:t>
            </w:r>
          </w:p>
        </w:tc>
        <w:tc>
          <w:p>
            <w:r>
              <w:t xml:space="preserve">AuditLog</w:t>
            </w:r>
          </w:p>
        </w:tc>
        <w:tc>
          <w:p>
            <w:r>
              <w:t xml:space="preserve">Trail global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/admin/dpia</w:t>
            </w:r>
          </w:p>
        </w:tc>
        <w:tc>
          <w:p>
            <w:r>
              <w:t xml:space="preserve">DpiaRecord</w:t>
            </w:r>
          </w:p>
        </w:tc>
        <w:tc>
          <w:p>
            <w:r>
              <w:t xml:space="preserve">Versões DPIA</w:t>
            </w:r>
          </w:p>
        </w:tc>
      </w:tr>
    </w:tbl>
    <w:p/>
    <w:p>
      <w:pPr>
        <w:pStyle w:val="Heading3"/>
      </w:pPr>
      <w:r>
        <w:t xml:space="preserve">9.1 Componentes UI reutilizáveis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ComplianceCaseSection</w:t>
            </w:r>
          </w:p>
        </w:tc>
        <w:tc>
          <w:p>
            <w:r>
              <w:t xml:space="preserve">Secção BdP: SAR, identidade, EDD, histórico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PartyIdentityPanel</w:t>
            </w:r>
          </w:p>
        </w:tc>
        <w:tc>
          <w:p>
            <w:r>
              <w:t xml:space="preserve">Verificação identidade + modal métodos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SarActionModals</w:t>
            </w:r>
          </w:p>
        </w:tc>
        <w:tc>
          <w:p>
            <w:r>
              <w:t xml:space="preserve">Modais SAR / não aplicável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IdentityVerificationBadge</w:t>
            </w:r>
          </w:p>
        </w:tc>
        <w:tc>
          <w:p>
            <w:r>
              <w:t xml:space="preserve">Badge PT (Verificado, Pendente, …)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UboGraphView</w:t>
            </w:r>
          </w:p>
        </w:tc>
        <w:tc>
          <w:p>
            <w:r>
              <w:t xml:space="preserve">SVG grafo UBO (zoom, inspector, tabela)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EntityCard</w:t>
            </w:r>
          </w:p>
        </w:tc>
        <w:tc>
          <w:p>
            <w:r>
              <w:t xml:space="preserve">Cartão parte com badges risco + identidade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RiskScoreBadge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SignalCard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ScanProgressBar</w:t>
            </w:r>
          </w:p>
        </w:tc>
        <w:tc>
          <w:p>
            <w:r>
              <w:t xml:space="preserve">Triagem e risco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10. SignalR — tempo real</w:t>
      </w:r>
    </w:p>
    <w:p>
      <w:r>
        <w:t xml:space="preserve">Hub </w:t>
      </w:r>
      <w:r>
        <w:rPr>
          <w:rFonts w:ascii="Consolas" w:cs="Consolas" w:eastAsia="Consolas" w:hAnsi="Consolas"/>
          <w:sz w:val="20"/>
          <w:szCs w:val="20"/>
        </w:rPr>
        <w:t xml:space="preserve">KycHub</w:t>
      </w:r>
      <w:r>
        <w:t xml:space="preserve">: progresso de triagem, relatório pronto, alertas compliance (SAR, identidade, congelamento). Grupos por caso e grupo </w:t>
      </w:r>
      <w:r>
        <w:rPr>
          <w:rFonts w:ascii="Consolas" w:cs="Consolas" w:eastAsia="Consolas" w:hAnsi="Consolas"/>
          <w:sz w:val="20"/>
          <w:szCs w:val="20"/>
        </w:rPr>
        <w:t xml:space="preserve">supervisors</w:t>
      </w:r>
      <w:r>
        <w:t xml:space="preserve"> para SAR.</w:t>
      </w:r>
    </w:p>
    <w:p>
      <w:r>
        <w:br w:type="page"/>
      </w:r>
    </w:p>
    <w:p>
      <w:pPr>
        <w:pStyle w:val="Heading2"/>
      </w:pPr>
      <w:r>
        <w:t xml:space="preserve">11. Configuração</w:t>
      </w:r>
    </w:p>
    <w:p>
      <w:pPr>
        <w:pStyle w:val="Heading3"/>
      </w:pPr>
      <w:r>
        <w:t xml:space="preserve">11.1 Variáveis essenciais (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)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KYC_DB_CONNECTION=Host=...;Database=...;Username=...;Password=...
OLLAMA_ENDPOINT=http://host.docker.internal:11434
AzureAd__Enabled=true|false
IdentityVerification__BaseUrl=...
IdentityVerification__WebhookSecret=...
Uif__BaseUrl=...
Uif__ApiKey=...
BdpAssetFreeze__BaseUrl=...
Compliance__RequireLiveIntegrations=true
Compliance__SupervisorGroupObjectId=&lt;guid-grupo-AD&gt;</w:t>
      </w:r>
    </w:p>
    <w:p>
      <w:pPr>
        <w:pStyle w:val="Heading3"/>
      </w:pPr>
      <w:r>
        <w:t xml:space="preserve">11.2 Ficheiros de configuração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src/KYC.Web/appsettings.json</w:t>
      </w:r>
      <w:r>
        <w:t xml:space="preserve"> — defaults (sem secrets)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src/KYC.Web/Program.cs</w:t>
      </w:r>
      <w:r>
        <w:t xml:space="preserve"> — DI, auth, endpoints, hosted services</w:t>
      </w:r>
    </w:p>
    <w:p>
      <w:r>
        <w:br w:type="page"/>
      </w:r>
    </w:p>
    <w:p>
      <w:pPr>
        <w:pStyle w:val="Heading2"/>
      </w:pPr>
      <w:r>
        <w:t xml:space="preserve">12. Base de dados e migrations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KycDbContext</w:t>
      </w:r>
      <w:r>
        <w:t xml:space="preserve"> — casos, partes, sinais, documentos, compliance, RPB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AuthDbContext</w:t>
      </w:r>
      <w:r>
        <w:t xml:space="preserve"> — utilizadores Identity (dev)</w:t>
      </w:r>
    </w:p>
    <w:p>
      <w:pPr>
        <w:pStyle w:val="ListParagraph"/>
        <w:numPr>
          <w:ilvl w:val="0"/>
          <w:numId w:val="1"/>
        </w:numPr>
      </w:pPr>
      <w:r>
        <w:t xml:space="preserve">Migrations em </w:t>
      </w:r>
      <w:r>
        <w:rPr>
          <w:rFonts w:ascii="Consolas" w:cs="Consolas" w:eastAsia="Consolas" w:hAnsi="Consolas"/>
          <w:sz w:val="20"/>
          <w:szCs w:val="20"/>
        </w:rPr>
        <w:t xml:space="preserve">src/KYC.Infrastructure/Migrations/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Audit imutável:</w:t>
      </w:r>
      <w:r>
        <w:t xml:space="preserve"> trigger </w:t>
      </w:r>
      <w:r>
        <w:rPr>
          <w:rFonts w:ascii="Consolas" w:cs="Consolas" w:eastAsia="Consolas" w:hAnsi="Consolas"/>
          <w:sz w:val="20"/>
          <w:szCs w:val="20"/>
        </w:rPr>
        <w:t xml:space="preserve">tr_audit_entries_immutable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pgvector:</w:t>
      </w:r>
      <w:r>
        <w:t xml:space="preserve"> embeddings de relatório</w:t>
      </w:r>
    </w:p>
    <w:p>
      <w:r>
        <w:t xml:space="preserve">Aplicar: </w:t>
      </w:r>
      <w:r>
        <w:rPr>
          <w:rFonts w:ascii="Consolas" w:cs="Consolas" w:eastAsia="Consolas" w:hAnsi="Consolas"/>
          <w:sz w:val="20"/>
          <w:szCs w:val="20"/>
        </w:rPr>
        <w:t xml:space="preserve">dotnet ef database update --project src/KYC.Infrastructure --startup-project src/KYC.Web</w:t>
      </w:r>
    </w:p>
    <w:p>
      <w:r>
        <w:br w:type="page"/>
      </w:r>
    </w:p>
    <w:p>
      <w:pPr>
        <w:pStyle w:val="Heading2"/>
      </w:pPr>
      <w:r>
        <w:t xml:space="preserve">13. Segurança e RGPD</w:t>
      </w:r>
    </w:p>
    <w:p>
      <w:pPr>
        <w:pStyle w:val="ListParagraph"/>
        <w:numPr>
          <w:ilvl w:val="0"/>
          <w:numId w:val="1"/>
        </w:numPr>
      </w:pPr>
      <w:r>
        <w:t xml:space="preserve">Secrets fora do repositório; Key Vault opcional</w:t>
      </w:r>
    </w:p>
    <w:p>
      <w:pPr>
        <w:pStyle w:val="ListParagraph"/>
        <w:numPr>
          <w:ilvl w:val="0"/>
          <w:numId w:val="1"/>
        </w:numPr>
      </w:pPr>
      <w:r>
        <w:t xml:space="preserve">Auto-approve apenas risco Low (score ≤30, sem High/Critical/sanções)</w:t>
      </w:r>
    </w:p>
    <w:p>
      <w:pPr>
        <w:pStyle w:val="ListParagraph"/>
        <w:numPr>
          <w:ilvl w:val="0"/>
          <w:numId w:val="1"/>
        </w:numPr>
      </w:pPr>
      <w:r>
        <w:t xml:space="preserve">DPIA activa obrigatória para processamento</w:t>
      </w:r>
    </w:p>
    <w:p>
      <w:pPr>
        <w:pStyle w:val="ListParagraph"/>
        <w:numPr>
          <w:ilvl w:val="0"/>
          <w:numId w:val="1"/>
        </w:numPr>
      </w:pPr>
      <w:r>
        <w:t xml:space="preserve">Retenção: </w:t>
      </w:r>
      <w:r>
        <w:rPr>
          <w:rFonts w:ascii="Consolas" w:cs="Consolas" w:eastAsia="Consolas" w:hAnsi="Consolas"/>
          <w:sz w:val="20"/>
          <w:szCs w:val="20"/>
        </w:rPr>
        <w:t xml:space="preserve">DataRetention:EnableHostedService</w:t>
      </w:r>
      <w:r>
        <w:t xml:space="preserve"> (opt-in)</w:t>
      </w:r>
    </w:p>
    <w:p>
      <w:pPr>
        <w:pStyle w:val="ListParagraph"/>
        <w:numPr>
          <w:ilvl w:val="0"/>
          <w:numId w:val="1"/>
        </w:numPr>
      </w:pPr>
      <w:r>
        <w:t xml:space="preserve">Explainability no relatório (Art. 22 GDPR)</w:t>
      </w:r>
    </w:p>
    <w:p>
      <w:pPr>
        <w:pStyle w:val="ListParagraph"/>
        <w:numPr>
          <w:ilvl w:val="0"/>
          <w:numId w:val="1"/>
        </w:numPr>
      </w:pPr>
      <w:r>
        <w:t xml:space="preserve">Webhook identidade com HMAC SHA-256 quando secret definido</w:t>
      </w:r>
    </w:p>
    <w:p>
      <w:r>
        <w:br w:type="page"/>
      </w:r>
    </w:p>
    <w:p>
      <w:pPr>
        <w:pStyle w:val="Heading2"/>
      </w:pPr>
      <w:r>
        <w:t xml:space="preserve">14. Testes e CI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dotnet test
dotnet test tests/KYC.Web.Integration.Tests  # requer KYC_DB_CONNECTION para Postgres</w:t>
      </w:r>
    </w:p>
    <w:p>
      <w:r>
        <w:t xml:space="preserve">Testes relevantes: compliance handlers, SAR eligibility, identity webhook, UBO graph builder, policy PAC, audit immutability.</w:t>
      </w:r>
    </w:p>
    <w:p>
      <w:r>
        <w:t xml:space="preserve">CI: build, EF migrate, testes em PostgreSQL de serviço.</w:t>
      </w:r>
    </w:p>
    <w:p>
      <w:r>
        <w:br w:type="page"/>
      </w:r>
    </w:p>
    <w:p>
      <w:pPr>
        <w:pStyle w:val="Heading2"/>
      </w:pPr>
      <w:r>
        <w:t xml:space="preserve">15. Desvios face ao Blueprint.md v1.1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Blueprint original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Implementação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Motivo</w:t>
            </w:r>
          </w:p>
        </w:tc>
      </w:tr>
      <w:tr>
        <w:tc>
          <w:p>
            <w:r>
              <w:t xml:space="preserve">Claude Sonnet</w:t>
            </w:r>
          </w:p>
        </w:tc>
        <w:tc>
          <w:p>
            <w:r>
              <w:t xml:space="preserve">Ollama Qwen apenas</w:t>
            </w:r>
          </w:p>
        </w:tc>
        <w:tc>
          <w:p>
            <w:r>
              <w:t xml:space="preserve">RGPD on-prem / BdP</w:t>
            </w:r>
          </w:p>
        </w:tc>
      </w:tr>
      <w:tr>
        <w:tc>
          <w:p>
            <w:r>
              <w:t xml:space="preserve">Azure Blob documentos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Data/cases</w:t>
            </w:r>
            <w:r>
              <w:t xml:space="preserve"> local</w:t>
            </w:r>
          </w:p>
        </w:tc>
        <w:tc>
          <w:p>
            <w:r>
              <w:t xml:space="preserve">Fase 5b; Blob planeado</w:t>
            </w:r>
          </w:p>
        </w:tc>
      </w:tr>
      <w:tr>
        <w:tc>
          <w:p>
            <w:r>
              <w:t xml:space="preserve">UBO UI básica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UboGraphView</w:t>
            </w:r>
            <w:r>
              <w:t xml:space="preserve"> rico</w:t>
            </w:r>
          </w:p>
        </w:tc>
        <w:tc>
          <w:p>
            <w:r>
              <w:t xml:space="preserve">Maio 2026</w:t>
            </w:r>
          </w:p>
        </w:tc>
      </w:tr>
    </w:tbl>
    <w:p/>
    <w:p>
      <w:r>
        <w:t xml:space="preserve">Estado detalhado: </w:t>
      </w:r>
      <w:r>
        <w:rPr>
          <w:u w:val="single"/>
        </w:rPr>
        <w:t xml:space="preserve">BLUEPRINT_COMPLETION_STATUS.md</w:t>
      </w:r>
      <w:r>
        <w:t xml:space="preserve">.</w:t>
      </w:r>
    </w:p>
    <w:p>
      <w:r>
        <w:br w:type="page"/>
      </w:r>
    </w:p>
    <w:p>
      <w:pPr>
        <w:pStyle w:val="Heading2"/>
      </w:pPr>
      <w:r>
        <w:t xml:space="preserve">16. Glossário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p>
            <w:r>
              <w:rPr>
                <w:b/>
                <w:bCs/>
              </w:rPr>
              <w:t xml:space="preserve">PAC</w:t>
            </w:r>
          </w:p>
        </w:tc>
        <w:tc>
          <w:p>
            <w:r>
              <w:t xml:space="preserve">Política de Aceitação de Clientes (Art. 24.º Lei 83/2017)</w:t>
            </w:r>
          </w:p>
        </w:tc>
      </w:tr>
      <w:tr>
        <w:tc>
          <w:p>
            <w:r>
              <w:rPr>
                <w:b/>
                <w:bCs/>
              </w:rPr>
              <w:t xml:space="preserve">DDC / EDD</w:t>
            </w:r>
          </w:p>
        </w:tc>
        <w:tc>
          <w:p>
            <w:r>
              <w:t xml:space="preserve">Diligência devida standard / reforçada</w:t>
            </w:r>
          </w:p>
        </w:tc>
      </w:tr>
      <w:tr>
        <w:tc>
          <w:p>
            <w:r>
              <w:rPr>
                <w:b/>
                <w:bCs/>
              </w:rPr>
              <w:t xml:space="preserve">SAR</w:t>
            </w:r>
          </w:p>
        </w:tc>
        <w:tc>
          <w:p>
            <w:r>
              <w:t xml:space="preserve">Suspicious Activity Report → comunicação </w:t>
            </w:r>
            <w:r>
              <w:rPr>
                <w:b/>
                <w:bCs/>
              </w:rPr>
              <w:t xml:space="preserve">UIF</w:t>
            </w:r>
          </w:p>
        </w:tc>
      </w:tr>
      <w:tr>
        <w:tc>
          <w:p>
            <w:r>
              <w:rPr>
                <w:b/>
                <w:bCs/>
              </w:rPr>
              <w:t xml:space="preserve">UBO</w:t>
            </w:r>
          </w:p>
        </w:tc>
        <w:tc>
          <w:p>
            <w:r>
              <w:t xml:space="preserve">Beneficiário efectivo final</w:t>
            </w:r>
          </w:p>
        </w:tc>
      </w:tr>
      <w:tr>
        <w:tc>
          <w:p>
            <w:r>
              <w:rPr>
                <w:b/>
                <w:bCs/>
              </w:rPr>
              <w:t xml:space="preserve">RPB</w:t>
            </w:r>
          </w:p>
        </w:tc>
        <w:tc>
          <w:p>
            <w:r>
              <w:t xml:space="preserve">Relatório de Prevenção ao Branqueamento (Instr. 8/2024)</w:t>
            </w:r>
          </w:p>
        </w:tc>
      </w:tr>
      <w:tr>
        <w:tc>
          <w:p>
            <w:r>
              <w:rPr>
                <w:b/>
                <w:bCs/>
              </w:rPr>
              <w:t xml:space="preserve">RCBE</w:t>
            </w:r>
          </w:p>
        </w:tc>
        <w:tc>
          <w:p>
            <w:r>
              <w:t xml:space="preserve">Registo Central do Beneficiário Efectivo</w:t>
            </w:r>
          </w:p>
        </w:tc>
      </w:tr>
      <w:tr>
        <w:tc>
          <w:p>
            <w:r>
              <w:rPr>
                <w:b/>
                <w:bCs/>
              </w:rPr>
              <w:t xml:space="preserve">GLEIF</w:t>
            </w:r>
          </w:p>
        </w:tc>
        <w:tc>
          <w:p>
            <w:r>
              <w:t xml:space="preserve">Global LEI Foundation (dados societários)</w:t>
            </w:r>
          </w:p>
        </w:tc>
      </w:tr>
      <w:tr>
        <w:tc>
          <w:p>
            <w:r>
              <w:rPr>
                <w:b/>
                <w:bCs/>
              </w:rPr>
              <w:t xml:space="preserve">4-eyes</w:t>
            </w:r>
          </w:p>
        </w:tc>
        <w:tc>
          <w:p>
            <w:r>
              <w:t xml:space="preserve">Dupla aprovação em EDD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SecondApproverId</w:t>
            </w:r>
            <w:r>
              <w:t xml:space="preserve">)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17. Referências cruzadas</w:t>
      </w:r>
    </w:p>
    <w:p>
      <w:pPr>
        <w:pStyle w:val="ListParagraph"/>
        <w:numPr>
          <w:ilvl w:val="0"/>
          <w:numId w:val="1"/>
        </w:numPr>
      </w:pPr>
      <w:r>
        <w:t xml:space="preserve">Catálogo de features: </w:t>
      </w:r>
      <w:r>
        <w:rPr>
          <w:u w:val="single"/>
        </w:rPr>
        <w:t xml:space="preserve">CATALOGO_FUNCIONALIDADES.md</w:t>
      </w:r>
    </w:p>
    <w:p>
      <w:pPr>
        <w:pStyle w:val="ListParagraph"/>
        <w:numPr>
          <w:ilvl w:val="0"/>
          <w:numId w:val="1"/>
        </w:numPr>
      </w:pPr>
      <w:r>
        <w:t xml:space="preserve">Operações e homologação: </w:t>
      </w:r>
      <w:r>
        <w:rPr>
          <w:u w:val="single"/>
        </w:rPr>
        <w:t xml:space="preserve">OPERACOES_E_HOMOLOGACAO.md</w:t>
      </w:r>
    </w:p>
    <w:p>
      <w:pPr>
        <w:pStyle w:val="ListParagraph"/>
        <w:numPr>
          <w:ilvl w:val="0"/>
          <w:numId w:val="1"/>
        </w:numPr>
      </w:pPr>
      <w:r>
        <w:t xml:space="preserve">Especificação técnica: </w:t>
      </w:r>
      <w:r>
        <w:rPr>
          <w:u w:val="single"/>
        </w:rPr>
        <w:t xml:space="preserve">../Blueprint.md</w:t>
      </w:r>
    </w:p>
    <w:p>
      <w:pPr>
        <w:pStyle w:val="ListParagraph"/>
        <w:numPr>
          <w:ilvl w:val="0"/>
          <w:numId w:val="1"/>
        </w:numPr>
      </w:pPr>
      <w:r>
        <w:t xml:space="preserve">Especificação BdP: </w:t>
      </w:r>
      <w:r>
        <w:rPr>
          <w:u w:val="single"/>
        </w:rPr>
        <w:t xml:space="preserve">../BLUEPRINT_BdP_Compliance_Addendum.md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Documentação da Aplicação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da Aplicação</dc:title>
  <dc:creator>KYC Platform</dc:creator>
  <dc:description>Arquitectura, stack, APIs, UI e configuração</dc:description>
  <cp:lastModifiedBy>Un-named</cp:lastModifiedBy>
  <cp:revision>1</cp:revision>
  <dcterms:created xsi:type="dcterms:W3CDTF">2026-05-31T11:54:51.310Z</dcterms:created>
  <dcterms:modified xsi:type="dcterms:W3CDTF">2026-05-31T11:54:51.310Z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