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Matriz de Requisitos Institucionais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Checklist §2.1–2.6 COMEX /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pPr>
        <w:pStyle w:val="Heading1"/>
      </w:pPr>
      <w:r>
        <w:t xml:space="preserve">Matriz de requisitos institucionais — KYC AI Platform</w:t>
      </w:r>
    </w:p>
    <w:p>
      <w:pPr>
        <w:spacing w:after="80" w:before="80"/>
        <w:ind w:left="720"/>
      </w:pPr>
      <w:r>
        <w:rPr>
          <w:b/>
          <w:bCs/>
        </w:rPr>
        <w:t xml:space="preserve">Última verificação:</w:t>
      </w:r>
      <w:r>
        <w:t xml:space="preserve"> Maio 2026 · Commit após implementação governança   </w:t>
      </w:r>
      <w:r>
        <w:rPr>
          <w:b/>
          <w:bCs/>
        </w:rPr>
        <w:t xml:space="preserve">Legenda:</w:t>
      </w:r>
      <w:r>
        <w:t xml:space="preserve"> ✅ Implementado / documentado · 🟡 Parcial (acção institucional pendente) · 🔴 Pendente · 🌐 Externo</w:t>
      </w:r>
    </w:p>
    <w:p>
      <w:r>
        <w:br w:type="page"/>
      </w:r>
    </w:p>
    <w:p>
      <w:pPr>
        <w:pStyle w:val="Heading2"/>
      </w:pPr>
      <w:r>
        <w:t xml:space="preserve">2.1 Arquitectura e negócio (base)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 / notas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Visão geral, escopo e diagramas de alto nível</w:t>
            </w:r>
          </w:p>
        </w:tc>
        <w:tc>
          <w:p>
            <w:r>
              <w:t xml:space="preserve">✅</w:t>
            </w:r>
          </w:p>
        </w:tc>
        <w:tc>
          <w:p>
            <w:r>
              <w:rPr>
                <w:u w:val="single"/>
              </w:rPr>
              <w:t xml:space="preserve">DOCUMENTACAO_APLICACAO.md</w:t>
            </w:r>
            <w:r>
              <w:t xml:space="preserve"> §1–2; fluxos Mermaid no blueprint</w:t>
            </w:r>
          </w:p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Documentação técnica APIs (Swagger / OpenAPI)</w:t>
            </w:r>
          </w:p>
        </w:tc>
        <w:tc>
          <w:p>
            <w:r>
              <w:t xml:space="preserve">✅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/swagger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/swagger/v1/swagger.json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OpenApi:Enable</w:t>
            </w:r>
            <w:r>
              <w:t xml:space="preserve">; </w:t>
            </w:r>
            <w:r>
              <w:rPr>
                <w:u w:val="single"/>
              </w:rPr>
              <w:t xml:space="preserve">api/README.md</w:t>
            </w:r>
          </w:p>
        </w:tc>
      </w:tr>
      <w:tr>
        <w:tc>
          <w:p>
            <w:r>
              <w:t xml:space="preserve">1.3</w:t>
            </w:r>
          </w:p>
        </w:tc>
        <w:tc>
          <w:p>
            <w:r>
              <w:t xml:space="preserve">Manuais utilizador e troubleshooting</w:t>
            </w:r>
          </w:p>
        </w:tc>
        <w:tc>
          <w:p>
            <w:r>
              <w:t xml:space="preserve">✅</w:t>
            </w:r>
          </w:p>
        </w:tc>
        <w:tc>
          <w:p>
            <w:r>
              <w:rPr>
                <w:u w:val="single"/>
              </w:rPr>
              <w:t xml:space="preserve">MANUAL_UTILIZADOR_TROUBLESHOOTING.md</w:t>
            </w:r>
            <w:r>
              <w:t xml:space="preserve">, </w:t>
            </w:r>
            <w:r>
              <w:rPr>
                <w:u w:val="single"/>
              </w:rPr>
              <w:t xml:space="preserve">ANALISTA_QUICK_START.md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2.2 Segurança da informação e cibersegurança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 / notas</w:t>
            </w:r>
          </w:p>
        </w:tc>
      </w:tr>
      <w:tr>
        <w:tc>
          <w:p>
            <w:r>
              <w:t xml:space="preserve">2.1</w:t>
            </w:r>
          </w:p>
        </w:tc>
        <w:tc>
          <w:p>
            <w:r>
              <w:t xml:space="preserve">Política de segurança da informação escrita e aprovada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Modelo: </w:t>
            </w:r>
            <w:r>
              <w:rPr>
                <w:u w:val="single"/>
              </w:rPr>
              <w:t xml:space="preserve">governanca/POLITICA_SEGURANCA_INFORMACAO.md</w:t>
            </w:r>
            <w:r>
              <w:t xml:space="preserve"> — </w:t>
            </w:r>
            <w:r>
              <w:rPr>
                <w:b/>
                <w:bCs/>
              </w:rPr>
              <w:t xml:space="preserve">requer assinatura DPO/CISO</w:t>
            </w:r>
          </w:p>
        </w:tc>
      </w:tr>
      <w:tr>
        <w:tc>
          <w:p>
            <w:r>
              <w:t xml:space="preserve">2.2</w:t>
            </w:r>
          </w:p>
        </w:tc>
        <w:tc>
          <w:p>
            <w:r>
              <w:t xml:space="preserve">Relatório pen test externo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Checklist: </w:t>
            </w:r>
            <w:r>
              <w:rPr>
                <w:u w:val="single"/>
              </w:rPr>
              <w:t xml:space="preserve">SECURITY_PEN_TEST_CHECKLIST.md</w:t>
            </w:r>
            <w:r>
              <w:t xml:space="preserve">; modelo relatório: </w:t>
            </w:r>
            <w:r>
              <w:rPr>
                <w:u w:val="single"/>
              </w:rPr>
              <w:t xml:space="preserve">governanca/RELATORIO_PEN_TEST_MODELO.md</w:t>
            </w:r>
            <w:r>
              <w:t xml:space="preserve"> — </w:t>
            </w:r>
            <w:r>
              <w:rPr>
                <w:b/>
                <w:bCs/>
              </w:rPr>
              <w:t xml:space="preserve">executar OWASP ZAP + auditor</w:t>
            </w:r>
          </w:p>
        </w:tc>
      </w:tr>
      <w:tr>
        <w:tc>
          <w:p>
            <w:r>
              <w:t xml:space="preserve">2.3</w:t>
            </w:r>
          </w:p>
        </w:tc>
        <w:tc>
          <w:p>
            <w:r>
              <w:t xml:space="preserve">Política de criptografia (trânsito e repouso)</w:t>
            </w:r>
          </w:p>
        </w:tc>
        <w:tc>
          <w:p>
            <w:r>
              <w:t xml:space="preserve">✅</w:t>
            </w:r>
          </w:p>
        </w:tc>
        <w:tc>
          <w:p>
            <w:r>
              <w:rPr>
                <w:u w:val="single"/>
              </w:rPr>
              <w:t xml:space="preserve">governanca/POLITICA_CRIPTOGRAFIA.md</w:t>
            </w:r>
            <w:r>
              <w:t xml:space="preserve">; TLS, HSTS, cookies, PostgreSQL</w:t>
            </w:r>
          </w:p>
        </w:tc>
      </w:tr>
      <w:tr>
        <w:tc>
          <w:p>
            <w:r>
              <w:t xml:space="preserve">2.4</w:t>
            </w:r>
          </w:p>
        </w:tc>
        <w:tc>
          <w:p>
            <w:r>
              <w:t xml:space="preserve">Autenticação forte (MFA/SCA) para operadores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Entra ID + Conditional Access (MFA); dev Identity com password policy — ver política §4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2.3 Resiliência e continuidade de negócio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 / notas</w:t>
            </w:r>
          </w:p>
        </w:tc>
      </w:tr>
      <w:tr>
        <w:tc>
          <w:p>
            <w:r>
              <w:t xml:space="preserve">3.1</w:t>
            </w:r>
          </w:p>
        </w:tc>
        <w:tc>
          <w:p>
            <w:r>
              <w:t xml:space="preserve">PCN estruturado</w:t>
            </w:r>
          </w:p>
        </w:tc>
        <w:tc>
          <w:p>
            <w:r>
              <w:t xml:space="preserve">🟡</w:t>
            </w:r>
          </w:p>
        </w:tc>
        <w:tc>
          <w:p>
            <w:r>
              <w:rPr>
                <w:u w:val="single"/>
              </w:rPr>
              <w:t xml:space="preserve">governanca/PCN_PLANO_CONTINUIDADE_NEGOCIO.md</w:t>
            </w:r>
            <w:r>
              <w:t xml:space="preserve"> — </w:t>
            </w:r>
            <w:r>
              <w:rPr>
                <w:b/>
                <w:bCs/>
              </w:rPr>
              <w:t xml:space="preserve">aprovação COMEX</w:t>
            </w:r>
          </w:p>
        </w:tc>
      </w:tr>
      <w:tr>
        <w:tc>
          <w:p>
            <w:r>
              <w:t xml:space="preserve">3.2</w:t>
            </w:r>
          </w:p>
        </w:tc>
        <w:tc>
          <w:p>
            <w:r>
              <w:t xml:space="preserve">PRD testado</w:t>
            </w:r>
          </w:p>
        </w:tc>
        <w:tc>
          <w:p>
            <w:r>
              <w:t xml:space="preserve">🟡</w:t>
            </w:r>
          </w:p>
        </w:tc>
        <w:tc>
          <w:p>
            <w:r>
              <w:rPr>
                <w:u w:val="single"/>
              </w:rPr>
              <w:t xml:space="preserve">governanca/PRD_PLANO_RECUPERACAO_DESASTRES.md</w:t>
            </w:r>
            <w:r>
              <w:t xml:space="preserve"> — </w:t>
            </w:r>
            <w:r>
              <w:rPr>
                <w:b/>
                <w:bCs/>
              </w:rPr>
              <w:t xml:space="preserve">simulação anual pendente</w:t>
            </w:r>
          </w:p>
        </w:tc>
      </w:tr>
      <w:tr>
        <w:tc>
          <w:p>
            <w:r>
              <w:t xml:space="preserve">3.3</w:t>
            </w:r>
          </w:p>
        </w:tc>
        <w:tc>
          <w:p>
            <w:r>
              <w:t xml:space="preserve">RTO/RPO validados em simulação</w:t>
            </w:r>
          </w:p>
        </w:tc>
        <w:tc>
          <w:p>
            <w:r>
              <w:t xml:space="preserve">🔴</w:t>
            </w:r>
          </w:p>
        </w:tc>
        <w:tc>
          <w:p>
            <w:r>
              <w:rPr>
                <w:u w:val="single"/>
              </w:rPr>
              <w:t xml:space="preserve">governanca/RTO_RPO_METRICAS.md</w:t>
            </w:r>
            <w:r>
              <w:t xml:space="preserve"> — tabela alvo + registo simulação vazio</w:t>
            </w:r>
          </w:p>
        </w:tc>
      </w:tr>
      <w:tr>
        <w:tc>
          <w:p>
            <w:r>
              <w:t xml:space="preserve">3.4</w:t>
            </w:r>
          </w:p>
        </w:tc>
        <w:tc>
          <w:p>
            <w:r>
              <w:t xml:space="preserve">Infra multi-region UE SLA 99.9%</w:t>
            </w:r>
          </w:p>
        </w:tc>
        <w:tc>
          <w:p>
            <w:r>
              <w:t xml:space="preserve">🟡</w:t>
            </w:r>
          </w:p>
        </w:tc>
        <w:tc>
          <w:p>
            <w:r>
              <w:rPr>
                <w:u w:val="single"/>
              </w:rPr>
              <w:t xml:space="preserve">governanca/INFRAESTRUTURA_MULTI_REGION_UE.md</w:t>
            </w:r>
            <w:r>
              <w:t xml:space="preserve"> — desenho; </w:t>
            </w:r>
            <w:r>
              <w:rPr>
                <w:b/>
                <w:bCs/>
              </w:rPr>
              <w:t xml:space="preserve">contratação cloud pendente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2.4 Gestão de riscos e subcontratação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 / notas</w:t>
            </w:r>
          </w:p>
        </w:tc>
      </w:tr>
      <w:tr>
        <w:tc>
          <w:p>
            <w:r>
              <w:t xml:space="preserve">4.1</w:t>
            </w:r>
          </w:p>
        </w:tc>
        <w:tc>
          <w:p>
            <w:r>
              <w:t xml:space="preserve">Matriz riscos TI actualizada</w:t>
            </w:r>
          </w:p>
        </w:tc>
        <w:tc>
          <w:p>
            <w:r>
              <w:t xml:space="preserve">🟡</w:t>
            </w:r>
          </w:p>
        </w:tc>
        <w:tc>
          <w:p>
            <w:r>
              <w:rPr>
                <w:u w:val="single"/>
              </w:rPr>
              <w:t xml:space="preserve">governanca/MATRIZ_RISCOS_TI.md</w:t>
            </w:r>
            <w:r>
              <w:t xml:space="preserve"> — </w:t>
            </w:r>
            <w:r>
              <w:rPr>
                <w:b/>
                <w:bCs/>
              </w:rPr>
              <w:t xml:space="preserve">revisão trimestral COMEX</w:t>
            </w:r>
          </w:p>
        </w:tc>
      </w:tr>
      <w:tr>
        <w:tc>
          <w:p>
            <w:r>
              <w:t xml:space="preserve">4.2</w:t>
            </w:r>
          </w:p>
        </w:tc>
        <w:tc>
          <w:p>
            <w:r>
              <w:t xml:space="preserve">Certificações cloud (ISO 27001 / SOC 2)</w:t>
            </w:r>
          </w:p>
        </w:tc>
        <w:tc>
          <w:p>
            <w:r>
              <w:t xml:space="preserve">🌐</w:t>
            </w:r>
          </w:p>
        </w:tc>
        <w:tc>
          <w:p>
            <w:r>
              <w:t xml:space="preserve">Responsabilidade fornecedor (Azure/AWS); anexar certificados ao dossier</w:t>
            </w:r>
          </w:p>
        </w:tc>
      </w:tr>
      <w:tr>
        <w:tc>
          <w:p>
            <w:r>
              <w:t xml:space="preserve">4.3</w:t>
            </w:r>
          </w:p>
        </w:tc>
        <w:tc>
          <w:p>
            <w:r>
              <w:t xml:space="preserve">Cláusula auditoria BdP na minuta contratual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Referência Lei 83/2017 + audit trail imutável; cláusula tipo em MATRIZ_RISCOS §6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2.5 Conformidade AML/CFT e biometria (KYC)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 / notas</w:t>
            </w:r>
          </w:p>
        </w:tc>
      </w:tr>
      <w:tr>
        <w:tc>
          <w:p>
            <w:r>
              <w:t xml:space="preserve">5.1</w:t>
            </w:r>
          </w:p>
        </w:tc>
        <w:tc>
          <w:p>
            <w:r>
              <w:t xml:space="preserve">Métricas falsos positivos/negativos motor</w:t>
            </w:r>
          </w:p>
        </w:tc>
        <w:tc>
          <w:p>
            <w:r>
              <w:t xml:space="preserve">✅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/api/admin/compliance/metrics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ScreeningMetricsDto</w:t>
            </w:r>
            <w:r>
              <w:t xml:space="preserve">; RPB anual</w:t>
            </w:r>
          </w:p>
        </w:tc>
      </w:tr>
      <w:tr>
        <w:tc>
          <w:p>
            <w:r>
              <w:t xml:space="preserve">5.2</w:t>
            </w:r>
          </w:p>
        </w:tc>
        <w:tc>
          <w:p>
            <w:r>
              <w:t xml:space="preserve">Integração listas sanções e PEP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OFAC/EU workers, pipeline, UI sinais</w:t>
            </w:r>
          </w:p>
        </w:tc>
      </w:tr>
      <w:tr>
        <w:tc>
          <w:p>
            <w:r>
              <w:t xml:space="preserve">5.3</w:t>
            </w:r>
          </w:p>
        </w:tc>
        <w:tc>
          <w:p>
            <w:r>
              <w:t xml:space="preserve">Prova de vida (Liveness) ISO/IEC 30107-3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Prestador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LivenessScore</w:t>
            </w:r>
            <w:r>
              <w:t xml:space="preserve">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CaseParty</w:t>
            </w:r>
            <w:r>
              <w:t xml:space="preserve">; </w:t>
            </w:r>
            <w:r>
              <w:rPr>
                <w:u w:val="single"/>
              </w:rPr>
              <w:t xml:space="preserve">governanca/LIVENESS_ISO_30107.md</w:t>
            </w:r>
            <w:r>
              <w:t xml:space="preserve"> — </w:t>
            </w:r>
            <w:r>
              <w:rPr>
                <w:b/>
                <w:bCs/>
              </w:rPr>
              <w:t xml:space="preserve">certificado prestador</w:t>
            </w:r>
          </w:p>
        </w:tc>
      </w:tr>
      <w:tr>
        <w:tc>
          <w:p>
            <w:r>
              <w:t xml:space="preserve">5.4</w:t>
            </w:r>
          </w:p>
        </w:tc>
        <w:tc>
          <w:p>
            <w:r>
              <w:t xml:space="preserve">Relatório FAR/FRR biométrico</w:t>
            </w:r>
          </w:p>
        </w:tc>
        <w:tc>
          <w:p>
            <w:r>
              <w:t xml:space="preserve">🟡</w:t>
            </w:r>
          </w:p>
        </w:tc>
        <w:tc>
          <w:p>
            <w:r>
              <w:t xml:space="preserve">API métricas + </w:t>
            </w:r>
            <w:r>
              <w:rPr>
                <w:u w:val="single"/>
              </w:rPr>
              <w:t xml:space="preserve">governanca/METRICAS_BIOMETRIA_FAR_FRR.md</w:t>
            </w:r>
            <w:r>
              <w:t xml:space="preserve">; FAR=0 até lab prestador</w:t>
            </w:r>
          </w:p>
        </w:tc>
      </w:tr>
      <w:tr>
        <w:tc>
          <w:p>
            <w:r>
              <w:t xml:space="preserve">5.5</w:t>
            </w:r>
          </w:p>
        </w:tc>
        <w:tc>
          <w:p>
            <w:r>
              <w:t xml:space="preserve">Contingência manual (APIs indisponíveis)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Congelamento BdP, SAR UIF, identidade, sinais, denominação no arranque — </w:t>
            </w:r>
            <w:r>
              <w:rPr>
                <w:u w:val="single"/>
              </w:rPr>
              <w:t xml:space="preserve">MANUAL_UTILIZADOR_TROUBLESHOOTING.md</w:t>
            </w:r>
            <w:r>
              <w:t xml:space="preserve"> §2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2.6 Rastreabilidade e auditoria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 / notas</w:t>
            </w:r>
          </w:p>
        </w:tc>
      </w:tr>
      <w:tr>
        <w:tc>
          <w:p>
            <w:r>
              <w:t xml:space="preserve">6.1</w:t>
            </w:r>
          </w:p>
        </w:tc>
        <w:tc>
          <w:p>
            <w:r>
              <w:t xml:space="preserve">Relatório KYC consolidado PDF/JSON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Relatório HTML/PDF, export RPB JSON/XML</w:t>
            </w:r>
          </w:p>
        </w:tc>
      </w:tr>
      <w:tr>
        <w:tc>
          <w:p>
            <w:r>
              <w:t xml:space="preserve">6.2</w:t>
            </w:r>
          </w:p>
        </w:tc>
        <w:tc>
          <w:p>
            <w:r>
              <w:t xml:space="preserve">Timestamp inviolável (audit trail)</w:t>
            </w:r>
          </w:p>
        </w:tc>
        <w:tc>
          <w:p>
            <w:r>
              <w:t xml:space="preserve">✅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audit_entries</w:t>
            </w:r>
            <w:r>
              <w:t xml:space="preserve"> + trigger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tr_audit_entries_immutable</w:t>
            </w:r>
          </w:p>
        </w:tc>
      </w:tr>
      <w:tr>
        <w:tc>
          <w:p>
            <w:r>
              <w:t xml:space="preserve">6.3</w:t>
            </w:r>
          </w:p>
        </w:tc>
        <w:tc>
          <w:p>
            <w:r>
              <w:t xml:space="preserve">Retenção 5–7 anos (RGPD)</w:t>
            </w:r>
          </w:p>
        </w:tc>
        <w:tc>
          <w:p>
            <w:r>
              <w:t xml:space="preserve">🟡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DataRetentionHostedService</w:t>
            </w:r>
            <w:r>
              <w:t xml:space="preserve"> configurável; </w:t>
            </w:r>
            <w:r>
              <w:rPr>
                <w:u w:val="single"/>
              </w:rPr>
              <w:t xml:space="preserve">governanca/RETENCAO_DADOS_RGPD.md</w:t>
            </w:r>
            <w:r>
              <w:t xml:space="preserve"> — activar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EnableHostedService</w:t>
            </w:r>
            <w:r>
              <w:t xml:space="preserve"> em prod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Acções institucionais prioritárias</w:t>
      </w:r>
    </w:p>
    <w:p>
      <w:pPr>
        <w:pStyle w:val="ListParagraph"/>
        <w:numPr>
          <w:ilvl w:val="0"/>
          <w:numId w:val="1"/>
        </w:numPr>
      </w:pPr>
      <w:r>
        <w:t xml:space="preserve">Assinar </w:t>
      </w:r>
      <w:r>
        <w:rPr>
          <w:b/>
          <w:bCs/>
        </w:rPr>
        <w:t xml:space="preserve">Política de Segurança</w:t>
      </w:r>
      <w:r>
        <w:t xml:space="preserve"> e </w:t>
      </w:r>
      <w:r>
        <w:rPr>
          <w:b/>
          <w:bCs/>
        </w:rPr>
        <w:t xml:space="preserve">PCN/PRD</w:t>
      </w:r>
      <w:r>
        <w:t xml:space="preserve"> (COMEX + DPO).</w:t>
      </w:r>
    </w:p>
    <w:p>
      <w:pPr>
        <w:pStyle w:val="ListParagraph"/>
        <w:numPr>
          <w:ilvl w:val="0"/>
          <w:numId w:val="1"/>
        </w:numPr>
      </w:pPr>
      <w:r>
        <w:t xml:space="preserve">Executar </w:t>
      </w:r>
      <w:r>
        <w:rPr>
          <w:b/>
          <w:bCs/>
        </w:rPr>
        <w:t xml:space="preserve">pen test</w:t>
      </w:r>
      <w:r>
        <w:t xml:space="preserve"> e preencher relatório → </w:t>
      </w:r>
      <w:r>
        <w:rPr>
          <w:rFonts w:ascii="Consolas" w:cs="Consolas" w:eastAsia="Consolas" w:hAnsi="Consolas"/>
          <w:sz w:val="20"/>
          <w:szCs w:val="20"/>
        </w:rPr>
        <w:t xml:space="preserve">docs/dossier/10-seguranca/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Simular </w:t>
      </w:r>
      <w:r>
        <w:rPr>
          <w:b/>
          <w:bCs/>
        </w:rPr>
        <w:t xml:space="preserve">PRD</w:t>
      </w:r>
      <w:r>
        <w:t xml:space="preserve"> e registar RTO/RPO em </w:t>
      </w:r>
      <w:r>
        <w:rPr>
          <w:rFonts w:ascii="Consolas" w:cs="Consolas" w:eastAsia="Consolas" w:hAnsi="Consolas"/>
          <w:sz w:val="20"/>
          <w:szCs w:val="20"/>
        </w:rPr>
        <w:t xml:space="preserve">RTO_RPO_METRICAS.md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Obter </w:t>
      </w:r>
      <w:r>
        <w:rPr>
          <w:b/>
          <w:bCs/>
        </w:rPr>
        <w:t xml:space="preserve">certificado ISO 30107-3</w:t>
      </w:r>
      <w:r>
        <w:t xml:space="preserve"> do prestador de identidade (DigitalSign/CMD).</w:t>
      </w:r>
    </w:p>
    <w:p>
      <w:pPr>
        <w:pStyle w:val="ListParagraph"/>
        <w:numPr>
          <w:ilvl w:val="0"/>
          <w:numId w:val="1"/>
        </w:numPr>
      </w:pPr>
      <w:r>
        <w:t xml:space="preserve">Activar </w:t>
      </w:r>
      <w:r>
        <w:rPr>
          <w:b/>
          <w:bCs/>
        </w:rPr>
        <w:t xml:space="preserve">DataRetention</w:t>
      </w:r>
      <w:r>
        <w:t xml:space="preserve"> em produção e validar job diário.</w:t>
      </w:r>
    </w:p>
    <w:p>
      <w:r>
        <w:br w:type="page"/>
      </w:r>
    </w:p>
    <w:p>
      <w:pPr>
        <w:pStyle w:val="Heading2"/>
      </w:pPr>
      <w:r>
        <w:t xml:space="preserve">Referências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docs/README.md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CATALOGO_FUNCIONALIDADES.md</w:t>
      </w:r>
    </w:p>
    <w:p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OPERACOES_E_HOMOLOGACAO.md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Matriz de Requisitos Institucionais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Requisitos Institucionais</dc:title>
  <dc:creator>KYC Platform</dc:creator>
  <dc:description>Checklist §2.1–2.6 COMEX / BdP</dc:description>
  <cp:lastModifiedBy>Un-named</cp:lastModifiedBy>
  <cp:revision>1</cp:revision>
  <dcterms:created xsi:type="dcterms:W3CDTF">2026-05-31T11:54:51.523Z</dcterms:created>
  <dcterms:modified xsi:type="dcterms:W3CDTF">2026-05-31T11:54:51.523Z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