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color w:val="1F4E79"/>
          <w:sz w:val="28"/>
          <w:szCs w:val="28"/>
        </w:rPr>
        <w:t xml:space="preserve">KYC AI Platform</w:t>
      </w:r>
    </w:p>
    <w:p>
      <w:pPr>
        <w:spacing w:before="400"/>
        <w:jc w:val="center"/>
      </w:pPr>
      <w:r>
        <w:rPr>
          <w:b/>
          <w:bCs/>
          <w:color w:val="1F4E79"/>
          <w:sz w:val="44"/>
          <w:szCs w:val="44"/>
        </w:rPr>
        <w:t xml:space="preserve">Checklist de Homologação BdP</w:t>
      </w:r>
    </w:p>
    <w:p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 xml:space="preserve">Lei 83/2017, Aviso 1/2022, Instr. 8/2024, RGPD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Versão: </w:t>
      </w:r>
      <w:r>
        <w:rPr>
          <w:sz w:val="22"/>
          <w:szCs w:val="22"/>
        </w:rPr>
        <w:t xml:space="preserve">Maio 2026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Classificação: </w:t>
      </w:r>
      <w:r>
        <w:rPr>
          <w:sz w:val="22"/>
          <w:szCs w:val="22"/>
        </w:rPr>
        <w:t xml:space="preserve">Confidencial — Uso interno / Homologação BdP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Data de geração: </w:t>
      </w:r>
      <w:r>
        <w:rPr>
          <w:sz w:val="22"/>
          <w:szCs w:val="22"/>
        </w:rPr>
        <w:t xml:space="preserve">2026-05-31</w:t>
      </w:r>
    </w:p>
    <w:p>
      <w:r>
        <w:br w:type="page"/>
      </w:r>
    </w:p>
    <w:p>
      <w:pPr>
        <w:pStyle w:val="Heading1"/>
      </w:pPr>
      <w:r>
        <w:t xml:space="preserve">Checklist de Homologação BdP — KYC AI Platform</w:t>
      </w:r>
    </w:p>
    <w:p>
      <w:pPr>
        <w:pStyle w:val="Heading2"/>
      </w:pPr>
      <w:r>
        <w:t xml:space="preserve">Lei 83/2017 — AML/CFT</w:t>
      </w:r>
    </w:p>
    <w:p>
      <w:pPr>
        <w:pStyle w:val="ListParagraph"/>
        <w:numPr>
          <w:ilvl w:val="0"/>
          <w:numId w:val="1"/>
        </w:numPr>
      </w:pPr>
      <w:r>
        <w:t xml:space="preserve">[x] PAC versionada activa (</w:t>
      </w:r>
      <w:r>
        <w:rPr>
          <w:rFonts w:ascii="Consolas" w:cs="Consolas" w:eastAsia="Consolas" w:hAnsi="Consolas"/>
          <w:sz w:val="20"/>
          <w:szCs w:val="20"/>
        </w:rPr>
        <w:t xml:space="preserve">customer_acceptance_policies</w:t>
      </w:r>
      <w:r>
        <w:t xml:space="preserve">) — validação no </w:t>
      </w:r>
      <w:r>
        <w:rPr>
          <w:rFonts w:ascii="Consolas" w:cs="Consolas" w:eastAsia="Consolas" w:hAnsi="Consolas"/>
          <w:sz w:val="20"/>
          <w:szCs w:val="20"/>
        </w:rPr>
        <w:t xml:space="preserve">StartKycCase</w:t>
      </w:r>
    </w:p>
    <w:p>
      <w:pPr>
        <w:pStyle w:val="ListParagraph"/>
        <w:numPr>
          <w:ilvl w:val="0"/>
          <w:numId w:val="1"/>
        </w:numPr>
      </w:pPr>
      <w:r>
        <w:t xml:space="preserve">[x] DDC Simplificada/Standard/Reforçada calculada por caso</w:t>
      </w:r>
    </w:p>
    <w:p>
      <w:pPr>
        <w:pStyle w:val="ListParagraph"/>
        <w:numPr>
          <w:ilvl w:val="0"/>
          <w:numId w:val="1"/>
        </w:numPr>
      </w:pPr>
      <w:r>
        <w:t xml:space="preserve">[x] EDD: origem de fundos obrigatória antes de aprovação</w:t>
      </w:r>
    </w:p>
    <w:p>
      <w:pPr>
        <w:pStyle w:val="ListParagraph"/>
        <w:numPr>
          <w:ilvl w:val="0"/>
          <w:numId w:val="1"/>
        </w:numPr>
      </w:pPr>
      <w:r>
        <w:t xml:space="preserve">[x] Revisão periódica (</w:t>
      </w:r>
      <w:r>
        <w:rPr>
          <w:rFonts w:ascii="Consolas" w:cs="Consolas" w:eastAsia="Consolas" w:hAnsi="Consolas"/>
          <w:sz w:val="20"/>
          <w:szCs w:val="20"/>
        </w:rPr>
        <w:t xml:space="preserve">NextReviewDue</w:t>
      </w:r>
      <w:r>
        <w:t xml:space="preserve">) após aprovação</w:t>
      </w:r>
    </w:p>
    <w:p>
      <w:pPr>
        <w:pStyle w:val="ListParagraph"/>
        <w:numPr>
          <w:ilvl w:val="0"/>
          <w:numId w:val="1"/>
        </w:numPr>
      </w:pPr>
      <w:r>
        <w:t xml:space="preserve">[x] SAR/UIF com audit trail (</w:t>
      </w:r>
      <w:r>
        <w:rPr>
          <w:rFonts w:ascii="Consolas" w:cs="Consolas" w:eastAsia="Consolas" w:hAnsi="Consolas"/>
          <w:sz w:val="20"/>
          <w:szCs w:val="20"/>
        </w:rPr>
        <w:t xml:space="preserve">SarSubmitted</w:t>
      </w:r>
      <w:r>
        <w:t xml:space="preserve">, referência UIF)</w:t>
      </w:r>
    </w:p>
    <w:p>
      <w:pPr>
        <w:pStyle w:val="ListParagraph"/>
        <w:numPr>
          <w:ilvl w:val="0"/>
          <w:numId w:val="1"/>
        </w:numPr>
      </w:pPr>
      <w:r>
        <w:t xml:space="preserve">[x] SAR pendente + registo manual UIF (</w:t>
      </w:r>
      <w:r>
        <w:rPr>
          <w:rFonts w:ascii="Consolas" w:cs="Consolas" w:eastAsia="Consolas" w:hAnsi="Consolas"/>
          <w:sz w:val="20"/>
          <w:szCs w:val="20"/>
        </w:rPr>
        <w:t xml:space="preserve">SarApiFailedPendingManual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SarManualRegistered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[x] Denominação social manual se RCBE/GLEIF em falha (</w:t>
      </w:r>
      <w:r>
        <w:rPr>
          <w:rFonts w:ascii="Consolas" w:cs="Consolas" w:eastAsia="Consolas" w:hAnsi="Consolas"/>
          <w:sz w:val="20"/>
          <w:szCs w:val="20"/>
        </w:rPr>
        <w:t xml:space="preserve">LegalCompanyName</w:t>
      </w:r>
      <w:r>
        <w:t xml:space="preserve"> no arranque)</w:t>
      </w:r>
    </w:p>
    <w:p>
      <w:pPr>
        <w:pStyle w:val="ListParagraph"/>
        <w:numPr>
          <w:ilvl w:val="0"/>
          <w:numId w:val="1"/>
        </w:numPr>
      </w:pPr>
      <w:r>
        <w:t xml:space="preserve">[x] Sinais de risco manuais + confirmação analista (</w:t>
      </w:r>
      <w:r>
        <w:rPr>
          <w:rFonts w:ascii="Consolas" w:cs="Consolas" w:eastAsia="Consolas" w:hAnsi="Consolas"/>
          <w:sz w:val="20"/>
          <w:szCs w:val="20"/>
        </w:rPr>
        <w:t xml:space="preserve">AddManualRiskSignalCommand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OverrideSignal</w:t>
      </w:r>
      <w:r>
        <w:t xml:space="preserve">)</w:t>
      </w:r>
    </w:p>
    <w:p>
      <w:pPr>
        <w:pStyle w:val="Heading2"/>
      </w:pPr>
      <w:r>
        <w:t xml:space="preserve">Aviso BdP 1/2022</w:t>
      </w:r>
    </w:p>
    <w:p>
      <w:pPr>
        <w:pStyle w:val="ListParagraph"/>
        <w:numPr>
          <w:ilvl w:val="0"/>
          <w:numId w:val="1"/>
        </w:numPr>
      </w:pPr>
      <w:r>
        <w:t xml:space="preserve">[x] Verificação identidade (webhook + polling + UI métodos)</w:t>
      </w:r>
    </w:p>
    <w:p>
      <w:pPr>
        <w:pStyle w:val="ListParagraph"/>
        <w:numPr>
          <w:ilvl w:val="0"/>
          <w:numId w:val="1"/>
        </w:numPr>
      </w:pPr>
      <w:r>
        <w:t xml:space="preserve">[x] Verificação manual de contingência (</w:t>
      </w:r>
      <w:r>
        <w:rPr>
          <w:rFonts w:ascii="Consolas" w:cs="Consolas" w:eastAsia="Consolas" w:hAnsi="Consolas"/>
          <w:sz w:val="20"/>
          <w:szCs w:val="20"/>
        </w:rPr>
        <w:t xml:space="preserve">RecordManualIdentityVerificationCommand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[x] Bloqueio aprovação se UBO/admin não verificado</w:t>
      </w:r>
    </w:p>
    <w:p>
      <w:pPr>
        <w:pStyle w:val="ListParagraph"/>
        <w:numPr>
          <w:ilvl w:val="0"/>
          <w:numId w:val="1"/>
        </w:numPr>
      </w:pPr>
      <w:r>
        <w:t xml:space="preserve">[x] 4-eyes em EDD (</w:t>
      </w:r>
      <w:r>
        <w:rPr>
          <w:rFonts w:ascii="Consolas" w:cs="Consolas" w:eastAsia="Consolas" w:hAnsi="Consolas"/>
          <w:sz w:val="20"/>
          <w:szCs w:val="20"/>
        </w:rPr>
        <w:t xml:space="preserve">SecondApproverId</w:t>
      </w:r>
      <w:r>
        <w:t xml:space="preserve">)</w:t>
      </w:r>
    </w:p>
    <w:p>
      <w:pPr>
        <w:pStyle w:val="Heading2"/>
      </w:pPr>
      <w:r>
        <w:t xml:space="preserve">Lei 97/2017 — Congelamento</w:t>
      </w:r>
    </w:p>
    <w:p>
      <w:pPr>
        <w:pStyle w:val="ListParagraph"/>
        <w:numPr>
          <w:ilvl w:val="0"/>
          <w:numId w:val="1"/>
        </w:numPr>
      </w:pPr>
      <w:r>
        <w:t xml:space="preserve">[x] Notificação automática ao confirmar sanção</w:t>
      </w:r>
    </w:p>
    <w:p>
      <w:pPr>
        <w:pStyle w:val="ListParagraph"/>
        <w:numPr>
          <w:ilvl w:val="0"/>
          <w:numId w:val="1"/>
        </w:numPr>
      </w:pPr>
      <w:r>
        <w:t xml:space="preserve">[x] </w:t>
      </w:r>
      <w:r>
        <w:rPr>
          <w:rFonts w:ascii="Consolas" w:cs="Consolas" w:eastAsia="Consolas" w:hAnsi="Consolas"/>
          <w:sz w:val="20"/>
          <w:szCs w:val="20"/>
        </w:rPr>
        <w:t xml:space="preserve">AssetFreezeNotified</w:t>
      </w:r>
      <w:r>
        <w:t xml:space="preserve"> registado</w:t>
      </w:r>
    </w:p>
    <w:p>
      <w:pPr>
        <w:pStyle w:val="ListParagraph"/>
        <w:numPr>
          <w:ilvl w:val="0"/>
          <w:numId w:val="1"/>
        </w:numPr>
      </w:pPr>
      <w:r>
        <w:t xml:space="preserve">[x] Registo manual ref. BdP se API falhar (</w:t>
      </w:r>
      <w:r>
        <w:rPr>
          <w:rFonts w:ascii="Consolas" w:cs="Consolas" w:eastAsia="Consolas" w:hAnsi="Consolas"/>
          <w:sz w:val="20"/>
          <w:szCs w:val="20"/>
        </w:rPr>
        <w:t xml:space="preserve">RegisterManualAssetFreezeReferenceCommand</w:t>
      </w:r>
      <w:r>
        <w:t xml:space="preserve">)</w:t>
      </w:r>
    </w:p>
    <w:p>
      <w:pPr>
        <w:pStyle w:val="Heading2"/>
      </w:pPr>
      <w:r>
        <w:t xml:space="preserve">Instrução BdP 8/2024 — RPB</w:t>
      </w:r>
    </w:p>
    <w:p>
      <w:pPr>
        <w:pStyle w:val="ListParagraph"/>
        <w:numPr>
          <w:ilvl w:val="0"/>
          <w:numId w:val="1"/>
        </w:numPr>
      </w:pPr>
      <w:r>
        <w:t xml:space="preserve">[x] Geração anual </w:t>
      </w:r>
      <w:r>
        <w:rPr>
          <w:rFonts w:ascii="Consolas" w:cs="Consolas" w:eastAsia="Consolas" w:hAnsi="Consolas"/>
          <w:sz w:val="20"/>
          <w:szCs w:val="20"/>
        </w:rPr>
        <w:t xml:space="preserve">AmlComplianceReport</w:t>
      </w:r>
    </w:p>
    <w:p>
      <w:pPr>
        <w:pStyle w:val="ListParagraph"/>
        <w:numPr>
          <w:ilvl w:val="0"/>
          <w:numId w:val="1"/>
        </w:numPr>
      </w:pPr>
      <w:r>
        <w:t xml:space="preserve">[x] Export JSON interno + XML BdP (</w:t>
      </w:r>
      <w:r>
        <w:rPr>
          <w:rFonts w:ascii="Consolas" w:cs="Consolas" w:eastAsia="Consolas" w:hAnsi="Consolas"/>
          <w:sz w:val="20"/>
          <w:szCs w:val="20"/>
        </w:rPr>
        <w:t xml:space="preserve">?format=bdp</w:t>
      </w:r>
      <w:r>
        <w:t xml:space="preserve">)</w:t>
      </w:r>
    </w:p>
    <w:p>
      <w:pPr>
        <w:pStyle w:val="Heading2"/>
      </w:pPr>
      <w:r>
        <w:t xml:space="preserve">RGPD</w:t>
      </w:r>
    </w:p>
    <w:p>
      <w:pPr>
        <w:pStyle w:val="ListParagraph"/>
        <w:numPr>
          <w:ilvl w:val="0"/>
          <w:numId w:val="1"/>
        </w:numPr>
      </w:pPr>
      <w:r>
        <w:t xml:space="preserve">[x] DPIA activa registada (Admin criar versão)</w:t>
      </w:r>
    </w:p>
    <w:p>
      <w:pPr>
        <w:pStyle w:val="ListParagraph"/>
        <w:numPr>
          <w:ilvl w:val="0"/>
          <w:numId w:val="1"/>
        </w:numPr>
      </w:pPr>
      <w:r>
        <w:t xml:space="preserve">[x] Audit trail imutável (trigger </w:t>
      </w:r>
      <w:r>
        <w:rPr>
          <w:rFonts w:ascii="Consolas" w:cs="Consolas" w:eastAsia="Consolas" w:hAnsi="Consolas"/>
          <w:sz w:val="20"/>
          <w:szCs w:val="20"/>
        </w:rPr>
        <w:t xml:space="preserve">tr_audit_entries_immutable</w:t>
      </w:r>
      <w:r>
        <w:t xml:space="preserve"> na migration BdP)</w:t>
      </w:r>
    </w:p>
    <w:p>
      <w:pPr>
        <w:pStyle w:val="ListParagraph"/>
        <w:numPr>
          <w:ilvl w:val="0"/>
          <w:numId w:val="1"/>
        </w:numPr>
      </w:pPr>
      <w:r>
        <w:t xml:space="preserve">[x] Auto-approve apenas Low risk (score ≤30, sem High/Critical/sanções)</w:t>
      </w:r>
    </w:p>
    <w:p>
      <w:pPr>
        <w:pStyle w:val="ListParagraph"/>
        <w:numPr>
          <w:ilvl w:val="0"/>
          <w:numId w:val="1"/>
        </w:numPr>
      </w:pPr>
      <w:r>
        <w:t xml:space="preserve">[x] Secção explainability no relatório (Art. 22)</w:t>
      </w:r>
    </w:p>
    <w:p>
      <w:pPr>
        <w:pStyle w:val="Heading2"/>
      </w:pPr>
      <w:r>
        <w:t xml:space="preserve">Execução homologação (evidências)</w:t>
      </w:r>
    </w:p>
    <w:p>
      <w:pPr>
        <w:pStyle w:val="ListParagraph"/>
        <w:numPr>
          <w:ilvl w:val="0"/>
          <w:numId w:val="1"/>
        </w:numPr>
      </w:pPr>
      <w:r>
        <w:t xml:space="preserve">[x] E2E cenários 1–10 executados (testes auto + UI 2–5) — ver </w:t>
      </w:r>
      <w:r>
        <w:rPr>
          <w:u w:val="single"/>
        </w:rPr>
        <w:t xml:space="preserve">E2E_HOMOLOGACAO.md</w:t>
      </w:r>
      <w:r>
        <w:t xml:space="preserve"> §Registo (2026-05-31)</w:t>
      </w:r>
    </w:p>
    <w:p>
      <w:pPr>
        <w:pStyle w:val="ListParagraph"/>
        <w:numPr>
          <w:ilvl w:val="0"/>
          <w:numId w:val="1"/>
        </w:numPr>
      </w:pPr>
      <w:r>
        <w:t xml:space="preserve">[x] Dossier preenchido em </w:t>
      </w:r>
      <w:r>
        <w:rPr>
          <w:rFonts w:ascii="Consolas" w:cs="Consolas" w:eastAsia="Consolas" w:hAnsi="Consolas"/>
          <w:sz w:val="20"/>
          <w:szCs w:val="20"/>
        </w:rPr>
        <w:t xml:space="preserve">docs/dossier/</w:t>
      </w:r>
      <w:r>
        <w:t xml:space="preserve"> (parcial: falta </w:t>
      </w:r>
      <w:r>
        <w:rPr>
          <w:rFonts w:ascii="Consolas" w:cs="Consolas" w:eastAsia="Consolas" w:hAnsi="Consolas"/>
          <w:sz w:val="20"/>
          <w:szCs w:val="20"/>
        </w:rPr>
        <w:t xml:space="preserve">01-pac/</w:t>
      </w:r>
      <w:r>
        <w:t xml:space="preserve"> prints, </w:t>
      </w:r>
      <w:r>
        <w:rPr>
          <w:rFonts w:ascii="Consolas" w:cs="Consolas" w:eastAsia="Consolas" w:hAnsi="Consolas"/>
          <w:sz w:val="20"/>
          <w:szCs w:val="20"/>
        </w:rPr>
        <w:t xml:space="preserve">10-seguranca/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[ ] Pen test — </w:t>
      </w:r>
      <w:r>
        <w:rPr>
          <w:u w:val="single"/>
        </w:rPr>
        <w:t xml:space="preserve">SECURITY_PEN_TEST_CHECKLIST.md</w:t>
      </w:r>
    </w:p>
    <w:p>
      <w:r>
        <w:t xml:space="preserve">_Data homologação:_ 2026-05-31 _Responsável:_ homologação técnica (auto + Playwright UI)</w:t>
      </w:r>
    </w:p>
    <w:p>
      <w:pPr>
        <w:pStyle w:val="Heading2"/>
      </w:pPr>
      <w:r>
        <w:t xml:space="preserve">Operacional</w:t>
      </w:r>
    </w:p>
    <w:p>
      <w:pPr>
        <w:pStyle w:val="ListParagraph"/>
        <w:numPr>
          <w:ilvl w:val="0"/>
          <w:numId w:val="1"/>
        </w:numPr>
      </w:pPr>
      <w:r>
        <w:t xml:space="preserve">[x] Health check </w:t>
      </w:r>
      <w:r>
        <w:rPr>
          <w:rFonts w:ascii="Consolas" w:cs="Consolas" w:eastAsia="Consolas" w:hAnsi="Consolas"/>
          <w:sz w:val="20"/>
          <w:szCs w:val="20"/>
        </w:rPr>
        <w:t xml:space="preserve">/health</w:t>
      </w:r>
    </w:p>
    <w:p>
      <w:pPr>
        <w:pStyle w:val="ListParagraph"/>
        <w:numPr>
          <w:ilvl w:val="0"/>
          <w:numId w:val="1"/>
        </w:numPr>
      </w:pPr>
      <w:r>
        <w:t xml:space="preserve">[x] Secrets fora do repositório (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no </w:t>
      </w:r>
      <w:r>
        <w:rPr>
          <w:rFonts w:ascii="Consolas" w:cs="Consolas" w:eastAsia="Consolas" w:hAnsi="Consolas"/>
          <w:sz w:val="20"/>
          <w:szCs w:val="20"/>
        </w:rPr>
        <w:t xml:space="preserve">.gitignore</w:t>
      </w:r>
      <w:r>
        <w:t xml:space="preserve">, usar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[x] Deploy on-prem documentado (</w:t>
      </w:r>
      <w:r>
        <w:rPr>
          <w:rFonts w:ascii="Consolas" w:cs="Consolas" w:eastAsia="Consolas" w:hAnsi="Consolas"/>
          <w:sz w:val="20"/>
          <w:szCs w:val="20"/>
        </w:rPr>
        <w:t xml:space="preserve">docker-compose.prod.yml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docs/DEPLOY_ONPREM.md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[x] CI pipeline (</w:t>
      </w:r>
      <w:r>
        <w:rPr>
          <w:rFonts w:ascii="Consolas" w:cs="Consolas" w:eastAsia="Consolas" w:hAnsi="Consolas"/>
          <w:sz w:val="20"/>
          <w:szCs w:val="20"/>
        </w:rPr>
        <w:t xml:space="preserve">/.github/workflows/ci.yml</w:t>
      </w:r>
      <w:r>
        <w:t xml:space="preserve"> — build, migrate, test)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Checklist de Homologação BdP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Homologação BdP</dc:title>
  <dc:creator>KYC Platform</dc:creator>
  <dc:description>Lei 83/2017, Aviso 1/2022, Instr. 8/2024, RGPD</dc:description>
  <cp:lastModifiedBy>Un-named</cp:lastModifiedBy>
  <cp:revision>1</cp:revision>
  <dcterms:created xsi:type="dcterms:W3CDTF">2026-05-31T11:54:51.559Z</dcterms:created>
  <dcterms:modified xsi:type="dcterms:W3CDTF">2026-05-31T11:54:51.559Z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