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color w:val="1F4E79"/>
          <w:sz w:val="28"/>
          <w:szCs w:val="28"/>
        </w:rPr>
        <w:t xml:space="preserve">KYC AI Platform</w:t>
      </w:r>
    </w:p>
    <w:p>
      <w:pPr>
        <w:spacing w:before="400"/>
        <w:jc w:val="center"/>
      </w:pPr>
      <w:r>
        <w:rPr>
          <w:b/>
          <w:bCs/>
          <w:color w:val="1F4E79"/>
          <w:sz w:val="44"/>
          <w:szCs w:val="44"/>
        </w:rPr>
        <w:t xml:space="preserve">Manual do Utilizador</w:t>
      </w:r>
    </w:p>
    <w:p>
      <w:pPr>
        <w:spacing w:before="200"/>
        <w:jc w:val="center"/>
      </w:pPr>
      <w:r>
        <w:rPr>
          <w:i/>
          <w:iCs/>
          <w:color w:val="666666"/>
          <w:sz w:val="24"/>
          <w:szCs w:val="24"/>
        </w:rPr>
        <w:t xml:space="preserve">Analistas AML, supervisores e administradores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Versão: </w:t>
      </w:r>
      <w:r>
        <w:rPr>
          <w:sz w:val="22"/>
          <w:szCs w:val="22"/>
        </w:rPr>
        <w:t xml:space="preserve">Maio 2026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Classificação: </w:t>
      </w:r>
      <w:r>
        <w:rPr>
          <w:sz w:val="22"/>
          <w:szCs w:val="22"/>
        </w:rPr>
        <w:t xml:space="preserve">Confidencial — Uso interno / Homologação BdP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Data de geração: </w:t>
      </w:r>
      <w:r>
        <w:rPr>
          <w:sz w:val="22"/>
          <w:szCs w:val="22"/>
        </w:rPr>
        <w:t xml:space="preserve">2026-05-31</w:t>
      </w:r>
    </w:p>
    <w:p>
      <w:r>
        <w:br w:type="page"/>
      </w:r>
    </w:p>
    <w:p>
      <w:pPr>
        <w:pStyle w:val="Heading1"/>
      </w:pPr>
      <w:r>
        <w:t xml:space="preserve">Manual do Utilizador — KYC AI Platform</w:t>
      </w:r>
    </w:p>
    <w:p>
      <w:pPr>
        <w:pStyle w:val="Heading1"/>
      </w:pPr>
      <w:r>
        <w:t xml:space="preserve">Manual do utilizador e troubleshooting — KYC AI Platform</w:t>
      </w:r>
    </w:p>
    <w:p>
      <w:pPr>
        <w:spacing w:after="80" w:before="80"/>
        <w:ind w:left="720"/>
      </w:pPr>
      <w:r>
        <w:t xml:space="preserve">Analistas, supervisores e administradores.</w:t>
      </w:r>
    </w:p>
    <w:p>
      <w:pPr>
        <w:pStyle w:val="Heading2"/>
      </w:pPr>
      <w:r>
        <w:t xml:space="preserve">1. Acesso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Ambiente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Autenticação</w:t>
            </w:r>
          </w:p>
        </w:tc>
      </w:tr>
      <w:tr>
        <w:tc>
          <w:p>
            <w:r>
              <w:t xml:space="preserve">Homologação</w:t>
            </w:r>
          </w:p>
        </w:tc>
        <w:tc>
          <w:p>
            <w:r>
              <w:t xml:space="preserve">_[URL institucional]_</w:t>
            </w:r>
          </w:p>
        </w:tc>
        <w:tc>
          <w:p>
            <w:r>
              <w:t xml:space="preserve">Entra ID (MFA)</w:t>
            </w:r>
          </w:p>
        </w:tc>
      </w:tr>
      <w:tr>
        <w:tc>
          <w:p>
            <w:r>
              <w:t xml:space="preserve">Dev local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http://localhost:8080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admin@kyc.local</w:t>
            </w:r>
            <w:r>
              <w:t xml:space="preserve"> (ver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</w:t>
            </w:r>
            <w:r>
              <w:t xml:space="preserve">)</w:t>
            </w:r>
          </w:p>
        </w:tc>
      </w:tr>
    </w:tbl>
    <w:p/>
    <w:p>
      <w:r>
        <w:t xml:space="preserve">Roles: </w:t>
      </w:r>
      <w:r>
        <w:rPr>
          <w:rFonts w:ascii="Consolas" w:cs="Consolas" w:eastAsia="Consolas" w:hAnsi="Consolas"/>
          <w:sz w:val="20"/>
          <w:szCs w:val="20"/>
        </w:rPr>
        <w:t xml:space="preserve">KYC.Analyst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KYC.Supervisor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KYC.Admin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KYC.Auditor</w:t>
      </w:r>
      <w:r>
        <w:t xml:space="preserve">.</w:t>
      </w:r>
    </w:p>
    <w:p>
      <w:pPr>
        <w:pStyle w:val="Heading2"/>
      </w:pPr>
      <w:r>
        <w:t xml:space="preserve">2. Fluxos principais</w:t>
      </w:r>
    </w:p>
    <w:p>
      <w:pPr>
        <w:pStyle w:val="Heading3"/>
      </w:pPr>
      <w:r>
        <w:t xml:space="preserve">Novo caso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Casos → Novo</w:t>
      </w:r>
      <w:r>
        <w:t xml:space="preserve"> — NIF, montante, relação, CAE</w:t>
      </w:r>
    </w:p>
    <w:p>
      <w:pPr>
        <w:pStyle w:val="ListParagraph"/>
        <w:numPr>
          <w:ilvl w:val="0"/>
          <w:numId w:val="1"/>
        </w:numPr>
      </w:pPr>
      <w:r>
        <w:t xml:space="preserve">Se RCBE/GLEIF não resolverem a entidade, preencher </w:t>
      </w:r>
      <w:r>
        <w:rPr>
          <w:b/>
          <w:bCs/>
        </w:rPr>
        <w:t xml:space="preserve">denominação social (manual)</w:t>
      </w:r>
      <w:r>
        <w:t xml:space="preserve"> (obrigatório)</w:t>
      </w:r>
    </w:p>
    <w:p>
      <w:pPr>
        <w:pStyle w:val="ListParagraph"/>
        <w:numPr>
          <w:ilvl w:val="0"/>
          <w:numId w:val="1"/>
        </w:numPr>
      </w:pPr>
      <w:r>
        <w:t xml:space="preserve">Aguardar barra de progresso (triagem automática)</w:t>
      </w:r>
    </w:p>
    <w:p>
      <w:pPr>
        <w:pStyle w:val="ListParagraph"/>
        <w:numPr>
          <w:ilvl w:val="0"/>
          <w:numId w:val="1"/>
        </w:numPr>
      </w:pPr>
      <w:r>
        <w:t xml:space="preserve">Revisar sinais → confirmar ou descartar; usar </w:t>
      </w:r>
      <w:r>
        <w:rPr>
          <w:b/>
          <w:bCs/>
        </w:rPr>
        <w:t xml:space="preserve">Registar sinal manual</w:t>
      </w:r>
      <w:r>
        <w:t xml:space="preserve"> se APIs de triagem falharem</w:t>
      </w:r>
    </w:p>
    <w:p>
      <w:pPr>
        <w:pStyle w:val="Heading3"/>
      </w:pPr>
      <w:r>
        <w:t xml:space="preserve">Conformidade (card amarelo)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Identidade</w:t>
      </w:r>
      <w:r>
        <w:t xml:space="preserve"> — Verificar UBO/órgão social; link portal se pendente; </w:t>
      </w:r>
      <w:r>
        <w:rPr>
          <w:b/>
          <w:bCs/>
        </w:rPr>
        <w:t xml:space="preserve">Verificado manualmente (sem API)</w:t>
      </w:r>
      <w:r>
        <w:t xml:space="preserve"> se prestador indisponível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SAR</w:t>
      </w:r>
      <w:r>
        <w:t xml:space="preserve"> — Narrativa ≥200 caracteres ou «não aplicável» ≥50; se urgente falhar na UIF, estado fica </w:t>
      </w:r>
      <w:r>
        <w:rPr>
          <w:b/>
          <w:bCs/>
        </w:rPr>
        <w:t xml:space="preserve">Pendente</w:t>
      </w:r>
      <w:r>
        <w:t xml:space="preserve"> com registo manual da referência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Congelamento BdP</w:t>
      </w:r>
      <w:r>
        <w:t xml:space="preserve"> — Após confirmar sanção; se API falhar, registo manual da ref. BdP no alerta vermelho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EDD</w:t>
      </w:r>
      <w:r>
        <w:t xml:space="preserve"> — Origem fundos + segundo aprovador na aprovação</w:t>
      </w:r>
    </w:p>
    <w:p>
      <w:pPr>
        <w:pStyle w:val="Heading3"/>
      </w:pPr>
      <w:r>
        <w:t xml:space="preserve">Aprovar</w:t>
      </w:r>
    </w:p>
    <w:p>
      <w:pPr>
        <w:pStyle w:val="ListParagraph"/>
        <w:numPr>
          <w:ilvl w:val="0"/>
          <w:numId w:val="1"/>
        </w:numPr>
      </w:pPr>
      <w:r>
        <w:t xml:space="preserve">Botão </w:t>
      </w:r>
      <w:r>
        <w:rPr>
          <w:b/>
          <w:bCs/>
        </w:rPr>
        <w:t xml:space="preserve">Aprovar</w:t>
      </w:r>
      <w:r>
        <w:t xml:space="preserve"> só activo sem mensagem de bloqueio</w:t>
      </w:r>
    </w:p>
    <w:p>
      <w:pPr>
        <w:pStyle w:val="ListParagraph"/>
        <w:numPr>
          <w:ilvl w:val="0"/>
          <w:numId w:val="1"/>
        </w:numPr>
      </w:pPr>
      <w:r>
        <w:t xml:space="preserve">Supervisor: segundo aprovador obrigatório em EDD</w:t>
      </w:r>
    </w:p>
    <w:p>
      <w:pPr>
        <w:pStyle w:val="Heading2"/>
      </w:pPr>
      <w:r>
        <w:t xml:space="preserve">3.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Sintoma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Causa provável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Acção</w:t>
            </w:r>
          </w:p>
        </w:tc>
      </w:tr>
      <w:tr>
        <w:tc>
          <w:p>
            <w:r>
              <w:t xml:space="preserve">Caso não arranca (PAC)</w:t>
            </w:r>
          </w:p>
        </w:tc>
        <w:tc>
          <w:p>
            <w:r>
              <w:t xml:space="preserve">CAE/jurisdição proibida</w:t>
            </w:r>
          </w:p>
        </w:tc>
        <w:tc>
          <w:p>
            <w:r>
              <w:t xml:space="preserve">Ver Settings → PAC; corrigir dados</w:t>
            </w:r>
          </w:p>
        </w:tc>
      </w:tr>
      <w:tr>
        <w:tc>
          <w:p>
            <w:r>
              <w:t xml:space="preserve">Aprovar desactivado</w:t>
            </w:r>
          </w:p>
        </w:tc>
        <w:tc>
          <w:p>
            <w:r>
              <w:t xml:space="preserve">UBO não verificado / fundos EDD</w:t>
            </w:r>
          </w:p>
        </w:tc>
        <w:tc>
          <w:p>
            <w:r>
              <w:t xml:space="preserve">Secção conformidade</w:t>
            </w:r>
          </w:p>
        </w:tc>
      </w:tr>
      <w:tr>
        <w:tc>
          <w:p>
            <w:r>
              <w:t xml:space="preserve">Triagem parada em %</w:t>
            </w:r>
          </w:p>
        </w:tc>
        <w:tc>
          <w:p>
            <w:r>
              <w:t xml:space="preserve">Ollama indisponível</w:t>
            </w:r>
          </w:p>
        </w:tc>
        <w:tc>
          <w:p>
            <w:r>
              <w:t xml:space="preserve">Verificar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OLLAMA_ENDPOINT</w:t>
            </w:r>
            <w:r>
              <w:t xml:space="preserve">; reiniciar Ollama</w:t>
            </w:r>
          </w:p>
        </w:tc>
      </w:tr>
      <w:tr>
        <w:tc>
          <w:p>
            <w:r>
              <w:t xml:space="preserve">Webhook identidade 401</w:t>
            </w:r>
          </w:p>
        </w:tc>
        <w:tc>
          <w:p>
            <w:r>
              <w:t xml:space="preserve">HMAC incorrecto</w:t>
            </w:r>
          </w:p>
        </w:tc>
        <w:tc>
          <w:p>
            <w:r>
              <w:t xml:space="preserve">Alinhar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IdentityVerification:WebhookSecret</w:t>
            </w:r>
          </w:p>
        </w:tc>
      </w:tr>
      <w:tr>
        <w:tc>
          <w:p>
            <w:r>
              <w:t xml:space="preserve">PDF relatório erro</w:t>
            </w:r>
          </w:p>
        </w:tc>
        <w:tc>
          <w:p>
            <w:r>
              <w:t xml:space="preserve">Puppeteer/Chromium</w:t>
            </w:r>
          </w:p>
        </w:tc>
        <w:tc>
          <w:p>
            <w:r>
              <w:t xml:space="preserve">Logs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kyc-web</w:t>
            </w:r>
            <w:r>
              <w:t xml:space="preserve">; reinstalar deps Docker</w:t>
            </w:r>
          </w:p>
        </w:tc>
      </w:tr>
      <w:tr>
        <w:tc>
          <w:p>
            <w:r>
              <w:t xml:space="preserve">SAR falha produção</w:t>
            </w:r>
          </w:p>
        </w:tc>
        <w:tc>
          <w:p>
            <w:r>
              <w:t xml:space="preserve">UIF URL em falta</w:t>
            </w:r>
          </w:p>
        </w:tc>
        <w:tc>
          <w:p>
            <w:r>
              <w:t xml:space="preserve">Configurar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Uif:BaseUrl</w:t>
            </w:r>
            <w:r>
              <w:t xml:space="preserve"> ou registo manual na secção SAR (estado Pendente)</w:t>
            </w:r>
          </w:p>
        </w:tc>
      </w:tr>
      <w:tr>
        <w:tc>
          <w:p>
            <w:r>
              <w:t xml:space="preserve">Congelamento BdP falhou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BdpAssetFreeze:BaseUrl</w:t>
            </w:r>
          </w:p>
        </w:tc>
        <w:tc>
          <w:p>
            <w:r>
              <w:t xml:space="preserve">Registar ref. manual após confirmar sanção</w:t>
            </w:r>
          </w:p>
        </w:tc>
      </w:tr>
      <w:tr>
        <w:tc>
          <w:p>
            <w:r>
              <w:t xml:space="preserve">Nome «Entidade {NIF}»</w:t>
            </w:r>
          </w:p>
        </w:tc>
        <w:tc>
          <w:p>
            <w:r>
              <w:t xml:space="preserve">Sem RCBE/GLEIF</w:t>
            </w:r>
          </w:p>
        </w:tc>
        <w:tc>
          <w:p>
            <w:r>
              <w:t xml:space="preserve">Corrigir no arranque (denominação manual) ou partes manuais</w:t>
            </w:r>
          </w:p>
        </w:tc>
      </w:tr>
      <w:tr>
        <w:tc>
          <w:p>
            <w:r>
              <w:t xml:space="preserve">Lista casos vazia</w:t>
            </w:r>
          </w:p>
        </w:tc>
        <w:tc>
          <w:p>
            <w:r>
              <w:t xml:space="preserve">BD / migrations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dotnet ef database update</w:t>
            </w:r>
          </w:p>
        </w:tc>
      </w:tr>
      <w:tr>
        <w:tc>
          <w:p>
            <w:r>
              <w:t xml:space="preserve">SignalR sem updates</w:t>
            </w:r>
          </w:p>
        </w:tc>
        <w:tc>
          <w:p>
            <w:r>
              <w:t xml:space="preserve">Proxy WebSocket</w:t>
            </w:r>
          </w:p>
        </w:tc>
        <w:tc>
          <w:p>
            <w:r>
              <w:t xml:space="preserve">nginx: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Upgrade</w:t>
            </w:r>
            <w:r>
              <w:t xml:space="preserve"> headers para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/hubs/</w:t>
            </w:r>
          </w:p>
        </w:tc>
      </w:tr>
    </w:tbl>
    <w:p/>
    <w:p>
      <w:pPr>
        <w:pStyle w:val="Heading2"/>
      </w:pPr>
      <w:r>
        <w:t xml:space="preserve">4. Logs e suporte</w:t>
      </w:r>
    </w:p>
    <w:p>
      <w:pPr>
        <w:pStyle w:val="ListParagraph"/>
        <w:numPr>
          <w:ilvl w:val="0"/>
          <w:numId w:val="1"/>
        </w:numPr>
      </w:pPr>
      <w:r>
        <w:t xml:space="preserve">Application logs: stdout Docker </w:t>
      </w:r>
      <w:r>
        <w:rPr>
          <w:rFonts w:ascii="Consolas" w:cs="Consolas" w:eastAsia="Consolas" w:hAnsi="Consolas"/>
          <w:sz w:val="20"/>
          <w:szCs w:val="20"/>
        </w:rPr>
        <w:t xml:space="preserve">kyc-web</w:t>
      </w:r>
    </w:p>
    <w:p>
      <w:pPr>
        <w:pStyle w:val="ListParagraph"/>
        <w:numPr>
          <w:ilvl w:val="0"/>
          <w:numId w:val="1"/>
        </w:numPr>
      </w:pPr>
      <w:r>
        <w:t xml:space="preserve">Audit: Admin → Audit log ou query </w:t>
      </w:r>
      <w:r>
        <w:rPr>
          <w:rFonts w:ascii="Consolas" w:cs="Consolas" w:eastAsia="Consolas" w:hAnsi="Consolas"/>
          <w:sz w:val="20"/>
          <w:szCs w:val="20"/>
        </w:rPr>
        <w:t xml:space="preserve">audit_entries</w:t>
      </w:r>
    </w:p>
    <w:p>
      <w:pPr>
        <w:pStyle w:val="ListParagraph"/>
        <w:numPr>
          <w:ilvl w:val="0"/>
          <w:numId w:val="1"/>
        </w:numPr>
      </w:pPr>
      <w:r>
        <w:t xml:space="preserve">Health: </w:t>
      </w:r>
      <w:r>
        <w:rPr>
          <w:rFonts w:ascii="Consolas" w:cs="Consolas" w:eastAsia="Consolas" w:hAnsi="Consolas"/>
          <w:sz w:val="20"/>
          <w:szCs w:val="20"/>
        </w:rPr>
        <w:t xml:space="preserve">GET /health</w:t>
      </w:r>
    </w:p>
    <w:p>
      <w:pPr>
        <w:pStyle w:val="Heading2"/>
      </w:pPr>
      <w:r>
        <w:t xml:space="preserve">5. APIs (equipa técnica)</w:t>
      </w:r>
    </w:p>
    <w:p>
      <w:r>
        <w:t xml:space="preserve">Ver </w:t>
      </w:r>
      <w:r>
        <w:rPr>
          <w:u w:val="single"/>
        </w:rPr>
        <w:t xml:space="preserve">api/README.md</w:t>
      </w:r>
      <w:r>
        <w:t xml:space="preserve"> e Swagger </w:t>
      </w:r>
      <w:r>
        <w:rPr>
          <w:rFonts w:ascii="Consolas" w:cs="Consolas" w:eastAsia="Consolas" w:hAnsi="Consolas"/>
          <w:sz w:val="20"/>
          <w:szCs w:val="20"/>
        </w:rPr>
        <w:t xml:space="preserve">/swagger</w:t>
      </w:r>
      <w:r>
        <w:t xml:space="preserve">.</w:t>
      </w:r>
    </w:p>
    <w:p>
      <w:pPr>
        <w:pStyle w:val="Heading2"/>
      </w:pPr>
      <w:r>
        <w:t xml:space="preserve">6. Documentação relacionada</w:t>
      </w:r>
    </w:p>
    <w:p>
      <w:pPr>
        <w:pStyle w:val="ListParagraph"/>
        <w:numPr>
          <w:ilvl w:val="0"/>
          <w:numId w:val="1"/>
        </w:numPr>
      </w:pPr>
      <w:r>
        <w:rPr>
          <w:u w:val="single"/>
        </w:rPr>
        <w:t xml:space="preserve">ANALISTA_QUICK_START.md</w:t>
      </w:r>
    </w:p>
    <w:p>
      <w:pPr>
        <w:pStyle w:val="ListParagraph"/>
        <w:numPr>
          <w:ilvl w:val="0"/>
          <w:numId w:val="1"/>
        </w:numPr>
      </w:pPr>
      <w:r>
        <w:rPr>
          <w:u w:val="single"/>
        </w:rPr>
        <w:t xml:space="preserve">OPERACOES_E_HOMOLOGACAO.md</w:t>
      </w:r>
    </w:p>
    <w:p>
      <w:pPr>
        <w:pStyle w:val="ListParagraph"/>
        <w:numPr>
          <w:ilvl w:val="0"/>
          <w:numId w:val="1"/>
        </w:numPr>
      </w:pPr>
      <w:r>
        <w:rPr>
          <w:u w:val="single"/>
        </w:rPr>
        <w:t xml:space="preserve">MATRIZ_REQUISITOS_INSTITUCIONAIS.md</w:t>
      </w:r>
    </w:p>
    <w:p>
      <w:r>
        <w:br w:type="page"/>
      </w:r>
    </w:p>
    <w:p>
      <w:pPr>
        <w:pStyle w:val="Heading1"/>
      </w:pPr>
      <w:r>
        <w:t xml:space="preserve">Quick Start Analista AML</w:t>
      </w:r>
    </w:p>
    <w:p>
      <w:pPr>
        <w:pStyle w:val="Heading1"/>
      </w:pPr>
      <w:r>
        <w:t xml:space="preserve">Quick start — Analista AML (KYC Platform)</w:t>
      </w:r>
    </w:p>
    <w:p>
      <w:pPr>
        <w:pStyle w:val="Heading2"/>
      </w:pPr>
      <w:r>
        <w:t xml:space="preserve">1. Acesso</w:t>
      </w:r>
    </w:p>
    <w:p>
      <w:pPr>
        <w:pStyle w:val="ListParagraph"/>
        <w:numPr>
          <w:ilvl w:val="0"/>
          <w:numId w:val="1"/>
        </w:numPr>
      </w:pPr>
      <w:r>
        <w:t xml:space="preserve">URL homologação/prod conforme deploy (</w:t>
      </w:r>
      <w:r>
        <w:rPr>
          <w:rFonts w:ascii="Consolas" w:cs="Consolas" w:eastAsia="Consolas" w:hAnsi="Consolas"/>
          <w:sz w:val="20"/>
          <w:szCs w:val="20"/>
        </w:rPr>
        <w:t xml:space="preserve">docs/DEPLOY_ONPREM.md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Roles: </w:t>
      </w:r>
      <w:r>
        <w:rPr>
          <w:rFonts w:ascii="Consolas" w:cs="Consolas" w:eastAsia="Consolas" w:hAnsi="Consolas"/>
          <w:sz w:val="20"/>
          <w:szCs w:val="20"/>
        </w:rPr>
        <w:t xml:space="preserve">KYC.Analyst</w:t>
      </w:r>
      <w:r>
        <w:t xml:space="preserve"> (casos), </w:t>
      </w:r>
      <w:r>
        <w:rPr>
          <w:rFonts w:ascii="Consolas" w:cs="Consolas" w:eastAsia="Consolas" w:hAnsi="Consolas"/>
          <w:sz w:val="20"/>
          <w:szCs w:val="20"/>
        </w:rPr>
        <w:t xml:space="preserve">KYC.Supervisor</w:t>
      </w:r>
      <w:r>
        <w:t xml:space="preserve"> (escalação + 4-eyes), </w:t>
      </w:r>
      <w:r>
        <w:rPr>
          <w:rFonts w:ascii="Consolas" w:cs="Consolas" w:eastAsia="Consolas" w:hAnsi="Consolas"/>
          <w:sz w:val="20"/>
          <w:szCs w:val="20"/>
        </w:rPr>
        <w:t xml:space="preserve">KYC.Admin</w:t>
      </w:r>
      <w:r>
        <w:t xml:space="preserve"> (RPB, PAC)</w:t>
      </w:r>
    </w:p>
    <w:p>
      <w:pPr>
        <w:pStyle w:val="Heading2"/>
      </w:pPr>
      <w:r>
        <w:t xml:space="preserve">2. Novo caso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Casos → Novo</w:t>
      </w:r>
      <w:r>
        <w:t xml:space="preserve"> — NIF, montante, tipo de relação (ocasional/continuada), CAE se aplicável.</w:t>
      </w:r>
    </w:p>
    <w:p>
      <w:pPr>
        <w:pStyle w:val="ListParagraph"/>
        <w:numPr>
          <w:ilvl w:val="0"/>
          <w:numId w:val="1"/>
        </w:numPr>
      </w:pPr>
      <w:r>
        <w:t xml:space="preserve">Aguardar triagem automática (barra de progresso no detalhe do caso).</w:t>
      </w:r>
    </w:p>
    <w:p>
      <w:pPr>
        <w:pStyle w:val="ListParagraph"/>
        <w:numPr>
          <w:ilvl w:val="0"/>
          <w:numId w:val="1"/>
        </w:numPr>
      </w:pPr>
      <w:r>
        <w:t xml:space="preserve">Revisar sinais e confirmar/descartar correspondências.</w:t>
      </w:r>
    </w:p>
    <w:p>
      <w:pPr>
        <w:pStyle w:val="Heading2"/>
      </w:pPr>
      <w:r>
        <w:t xml:space="preserve">3. Conformidade (secção amarela)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Identidade</w:t>
      </w:r>
      <w:r>
        <w:t xml:space="preserve"> — Verificar UBO/administradores (Aviso BdP 1/2022) antes de aprovar.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EDD</w:t>
      </w:r>
      <w:r>
        <w:t xml:space="preserve"> — Preencher origem dos fundos; segundo aprovador obrigatório.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SAR</w:t>
      </w:r>
      <w:r>
        <w:t xml:space="preserve"> — Se banner amarelo: comunicar à UIF (≥200 caracteres) ou marcar não aplicável.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RCBE</w:t>
      </w:r>
      <w:r>
        <w:t xml:space="preserve"> — Reportar discrepância se detectada.</w:t>
      </w:r>
    </w:p>
    <w:p>
      <w:pPr>
        <w:pStyle w:val="Heading2"/>
      </w:pPr>
      <w:r>
        <w:t xml:space="preserve">4. Aprovar ou rejeitar</w:t>
      </w:r>
    </w:p>
    <w:p>
      <w:pPr>
        <w:pStyle w:val="ListParagraph"/>
        <w:numPr>
          <w:ilvl w:val="0"/>
          <w:numId w:val="1"/>
        </w:numPr>
      </w:pPr>
      <w:r>
        <w:t xml:space="preserve">Botão </w:t>
      </w:r>
      <w:r>
        <w:rPr>
          <w:b/>
          <w:bCs/>
        </w:rPr>
        <w:t xml:space="preserve">Aprovar</w:t>
      </w:r>
      <w:r>
        <w:t xml:space="preserve"> só activo quando </w:t>
      </w:r>
      <w:r>
        <w:rPr>
          <w:rFonts w:ascii="Consolas" w:cs="Consolas" w:eastAsia="Consolas" w:hAnsi="Consolas"/>
          <w:sz w:val="20"/>
          <w:szCs w:val="20"/>
        </w:rPr>
        <w:t xml:space="preserve">CanApprove</w:t>
      </w:r>
      <w:r>
        <w:t xml:space="preserve"> não indicar bloqueio.</w:t>
      </w:r>
    </w:p>
    <w:p>
      <w:pPr>
        <w:pStyle w:val="ListParagraph"/>
        <w:numPr>
          <w:ilvl w:val="0"/>
          <w:numId w:val="1"/>
        </w:numPr>
      </w:pPr>
      <w:r>
        <w:t xml:space="preserve">Casos com sanção confirmada → congelamento automático + estado «Em revisão».</w:t>
      </w:r>
    </w:p>
    <w:p>
      <w:pPr>
        <w:pStyle w:val="Heading2"/>
      </w:pPr>
      <w:r>
        <w:t xml:space="preserve">5. Alertas em tempo real</w:t>
      </w:r>
    </w:p>
    <w:p>
      <w:pPr>
        <w:pStyle w:val="ListParagraph"/>
        <w:numPr>
          <w:ilvl w:val="0"/>
          <w:numId w:val="1"/>
        </w:numPr>
      </w:pPr>
      <w:r>
        <w:t xml:space="preserve">SignalR: progresso de triagem, relatório pronto, alertas compliance (SAR, identidade, congelamento).</w:t>
      </w:r>
    </w:p>
    <w:p>
      <w:pPr>
        <w:pStyle w:val="ListParagraph"/>
        <w:numPr>
          <w:ilvl w:val="0"/>
          <w:numId w:val="1"/>
        </w:numPr>
      </w:pPr>
      <w:r>
        <w:t xml:space="preserve">Supervisores recebem alertas SAR no grupo </w:t>
      </w:r>
      <w:r>
        <w:rPr>
          <w:rFonts w:ascii="Consolas" w:cs="Consolas" w:eastAsia="Consolas" w:hAnsi="Consolas"/>
          <w:sz w:val="20"/>
          <w:szCs w:val="20"/>
        </w:rPr>
        <w:t xml:space="preserve">supervisors</w:t>
      </w:r>
      <w:r>
        <w:t xml:space="preserve">.</w:t>
      </w:r>
    </w:p>
    <w:p>
      <w:pPr>
        <w:pStyle w:val="Heading2"/>
      </w:pPr>
      <w:r>
        <w:t xml:space="preserve">6. Referência</w:t>
      </w:r>
    </w:p>
    <w:p>
      <w:pPr>
        <w:pStyle w:val="ListParagraph"/>
        <w:numPr>
          <w:ilvl w:val="0"/>
          <w:numId w:val="1"/>
        </w:numPr>
      </w:pPr>
      <w:r>
        <w:t xml:space="preserve">E2E completo: </w:t>
      </w:r>
      <w:r>
        <w:rPr>
          <w:rFonts w:ascii="Consolas" w:cs="Consolas" w:eastAsia="Consolas" w:hAnsi="Consolas"/>
          <w:sz w:val="20"/>
          <w:szCs w:val="20"/>
        </w:rPr>
        <w:t xml:space="preserve">docs/E2E_HOMOLOGACAO.md</w:t>
      </w:r>
    </w:p>
    <w:p>
      <w:pPr>
        <w:pStyle w:val="ListParagraph"/>
        <w:numPr>
          <w:ilvl w:val="0"/>
          <w:numId w:val="1"/>
        </w:numPr>
      </w:pPr>
      <w:r>
        <w:t xml:space="preserve">Checklist BdP: </w:t>
      </w:r>
      <w:r>
        <w:rPr>
          <w:rFonts w:ascii="Consolas" w:cs="Consolas" w:eastAsia="Consolas" w:hAnsi="Consolas"/>
          <w:sz w:val="20"/>
          <w:szCs w:val="20"/>
        </w:rPr>
        <w:t xml:space="preserve">docs/CHECKLIST_HOMOLOGACAO_BDP.md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Manual do Utilizador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Utilizador</dc:title>
  <dc:creator>KYC Platform</dc:creator>
  <dc:description>Analistas AML, supervisores e administradores</dc:description>
  <cp:lastModifiedBy>Un-named</cp:lastModifiedBy>
  <cp:revision>1</cp:revision>
  <dcterms:created xsi:type="dcterms:W3CDTF">2026-05-31T11:54:51.635Z</dcterms:created>
  <dcterms:modified xsi:type="dcterms:W3CDTF">2026-05-31T11:54:51.635Z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