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color w:val="1F4E79"/>
          <w:sz w:val="28"/>
          <w:szCs w:val="28"/>
        </w:rPr>
        <w:t xml:space="preserve">KYC AI Platform</w:t>
      </w:r>
    </w:p>
    <w:p>
      <w:pPr>
        <w:spacing w:before="400"/>
        <w:jc w:val="center"/>
      </w:pPr>
      <w:r>
        <w:rPr>
          <w:b/>
          <w:bCs/>
          <w:color w:val="1F4E79"/>
          <w:sz w:val="44"/>
          <w:szCs w:val="44"/>
        </w:rPr>
        <w:t xml:space="preserve">Dossier de Evidências</w:t>
      </w:r>
    </w:p>
    <w:p>
      <w:pPr>
        <w:spacing w:before="200"/>
        <w:jc w:val="center"/>
      </w:pPr>
      <w:r>
        <w:rPr>
          <w:i/>
          <w:iCs/>
          <w:color w:val="666666"/>
          <w:sz w:val="24"/>
          <w:szCs w:val="24"/>
        </w:rPr>
        <w:t xml:space="preserve">Go-live regulatório — Instrução BdP 8/2024, Lei 83/2017, Aviso 1/2022</w:t>
      </w:r>
    </w:p>
    <w:p>
      <w:pPr>
        <w:spacing w:before="120"/>
        <w:jc w:val="center"/>
      </w:pPr>
      <w:r>
        <w:rPr>
          <w:b/>
          <w:bCs/>
          <w:sz w:val="22"/>
          <w:szCs w:val="22"/>
        </w:rPr>
        <w:t xml:space="preserve">Versão: </w:t>
      </w:r>
      <w:r>
        <w:rPr>
          <w:sz w:val="22"/>
          <w:szCs w:val="22"/>
        </w:rPr>
        <w:t xml:space="preserve">Maio 2026</w:t>
      </w:r>
    </w:p>
    <w:p>
      <w:pPr>
        <w:spacing w:before="120"/>
        <w:jc w:val="center"/>
      </w:pPr>
      <w:r>
        <w:rPr>
          <w:b/>
          <w:bCs/>
          <w:sz w:val="22"/>
          <w:szCs w:val="22"/>
        </w:rPr>
        <w:t xml:space="preserve">Classificação: </w:t>
      </w:r>
      <w:r>
        <w:rPr>
          <w:sz w:val="22"/>
          <w:szCs w:val="22"/>
        </w:rPr>
        <w:t xml:space="preserve">Confidencial — Uso interno / Homologação BdP</w:t>
      </w:r>
    </w:p>
    <w:p>
      <w:pPr>
        <w:spacing w:before="120"/>
        <w:jc w:val="center"/>
      </w:pPr>
      <w:r>
        <w:rPr>
          <w:b/>
          <w:bCs/>
          <w:sz w:val="22"/>
          <w:szCs w:val="22"/>
        </w:rPr>
        <w:t xml:space="preserve">Data de geração: </w:t>
      </w:r>
      <w:r>
        <w:rPr>
          <w:sz w:val="22"/>
          <w:szCs w:val="22"/>
        </w:rPr>
        <w:t xml:space="preserve">2026-05-31</w:t>
      </w:r>
    </w:p>
    <w:p>
      <w:r>
        <w:br w:type="page"/>
      </w:r>
    </w:p>
    <w:p>
      <w:pPr>
        <w:pStyle w:val="Heading1"/>
      </w:pPr>
      <w:r>
        <w:t xml:space="preserve">1. Estrutura do dossier</w:t>
      </w:r>
    </w:p>
    <w:p>
      <w:pPr>
        <w:pStyle w:val="Heading1"/>
      </w:pPr>
      <w:r>
        <w:t xml:space="preserve">Dossier de homologação BdP — KYC Platform</w:t>
      </w:r>
    </w:p>
    <w:p>
      <w:r>
        <w:t xml:space="preserve">Pasta para evidências do go-live regulatório (Instrução BdP 8/2024, Lei 83/2017, Aviso 1/2022).</w:t>
      </w:r>
    </w:p>
    <w:p>
      <w:pPr>
        <w:pStyle w:val="Heading2"/>
      </w:pPr>
      <w:r>
        <w:t xml:space="preserve">Estrutura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Pasta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Cenários E2E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Evidências mínimas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01-pac/</w:t>
            </w:r>
          </w:p>
        </w:tc>
        <w:tc>
          <w:p>
            <w:r>
              <w:t xml:space="preserve">#1, #6</w:t>
            </w:r>
          </w:p>
        </w:tc>
        <w:tc>
          <w:p>
            <w:r>
              <w:t xml:space="preserve">PAC activa; rejeição CAE 92000; nome legal manual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02-dpia/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DPIA activa + PDF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03-scoring/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Versão scoring + hash prompt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04-rpb/</w:t>
            </w:r>
          </w:p>
        </w:tc>
        <w:tc>
          <w:p>
            <w:r>
              <w:t xml:space="preserve">#5</w:t>
            </w:r>
          </w:p>
        </w:tc>
        <w:tc>
          <w:p>
            <w:r>
              <w:t xml:space="preserve">XML BdP + JSON + ref. submissão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05-sar-uif/</w:t>
            </w:r>
          </w:p>
        </w:tc>
        <w:tc>
          <w:p>
            <w:r>
              <w:t xml:space="preserve">#3, #7</w:t>
            </w:r>
          </w:p>
        </w:tc>
        <w:tc>
          <w:p>
            <w:r>
              <w:t xml:space="preserve">SAR submetido; SAR manual pós-falha API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06-identidade/</w:t>
            </w:r>
          </w:p>
        </w:tc>
        <w:tc>
          <w:p>
            <w:r>
              <w:t xml:space="preserve">#2, #9</w:t>
            </w:r>
          </w:p>
        </w:tc>
        <w:tc>
          <w:p>
            <w:r>
              <w:t xml:space="preserve">Webhook HMAC; verificação manual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07-congelamento/</w:t>
            </w:r>
          </w:p>
        </w:tc>
        <w:tc>
          <w:p>
            <w:r>
              <w:t xml:space="preserve">#8</w:t>
            </w:r>
          </w:p>
        </w:tc>
        <w:tc>
          <w:p>
            <w:r>
              <w:t xml:space="preserve">Ref. API ou manual pós-sanção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08-audit/</w:t>
            </w:r>
          </w:p>
        </w:tc>
        <w:tc>
          <w:p>
            <w:r>
              <w:t xml:space="preserve">#4</w:t>
            </w:r>
          </w:p>
        </w:tc>
        <w:tc>
          <w:p>
            <w:r>
              <w:t xml:space="preserve">Export audit caso EDD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09-e2e/</w:t>
            </w:r>
          </w:p>
        </w:tc>
        <w:tc>
          <w:p>
            <w:r>
              <w:t xml:space="preserve">#10</w:t>
            </w:r>
          </w:p>
        </w:tc>
        <w:tc>
          <w:p>
            <w:r>
              <w:t xml:space="preserve">Tabela E2E assinada; sinais manuais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10-seguranca/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Pen test preenchido</w:t>
            </w:r>
          </w:p>
        </w:tc>
      </w:tr>
    </w:tbl>
    <w:p/>
    <w:p>
      <w:pPr>
        <w:pStyle w:val="Heading2"/>
      </w:pPr>
      <w:r>
        <w:t xml:space="preserve">Como executar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20"/>
          <w:szCs w:val="20"/>
        </w:rPr>
        <w:t xml:space="preserve">dotnet test</w:t>
      </w:r>
      <w:r>
        <w:t xml:space="preserve"> (0 falhas).</w:t>
      </w:r>
    </w:p>
    <w:p>
      <w:pPr>
        <w:pStyle w:val="ListParagraph"/>
        <w:numPr>
          <w:ilvl w:val="0"/>
          <w:numId w:val="1"/>
        </w:numPr>
      </w:pPr>
      <w:r>
        <w:t xml:space="preserve">Seguir </w:t>
      </w:r>
      <w:r>
        <w:rPr>
          <w:u w:val="single"/>
        </w:rPr>
        <w:t xml:space="preserve">E2E_HOMOLOGACAO.md</w:t>
      </w:r>
      <w:r>
        <w:t xml:space="preserve"> — </w:t>
      </w:r>
      <w:r>
        <w:rPr>
          <w:b/>
          <w:bCs/>
        </w:rPr>
        <w:t xml:space="preserve">10 cenários</w:t>
      </w:r>
      <w:r>
        <w:t xml:space="preserve"> (inclui contingência manual).</w:t>
      </w:r>
    </w:p>
    <w:p>
      <w:pPr>
        <w:pStyle w:val="ListParagraph"/>
        <w:numPr>
          <w:ilvl w:val="0"/>
          <w:numId w:val="1"/>
        </w:numPr>
      </w:pPr>
      <w:r>
        <w:t xml:space="preserve">Guardar ficheiros com data: </w:t>
      </w:r>
      <w:r>
        <w:rPr>
          <w:rFonts w:ascii="Consolas" w:cs="Consolas" w:eastAsia="Consolas" w:hAnsi="Consolas"/>
          <w:sz w:val="20"/>
          <w:szCs w:val="20"/>
        </w:rPr>
        <w:t xml:space="preserve">RPB-2025-20260530.xml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sar-manual-20260530.png</w:t>
      </w:r>
      <w:r>
        <w:t xml:space="preserve">, etc.</w:t>
      </w:r>
    </w:p>
    <w:p>
      <w:pPr>
        <w:pStyle w:val="ListParagraph"/>
        <w:numPr>
          <w:ilvl w:val="0"/>
          <w:numId w:val="1"/>
        </w:numPr>
      </w:pPr>
      <w:r>
        <w:t xml:space="preserve">Marcar </w:t>
      </w:r>
      <w:r>
        <w:rPr>
          <w:u w:val="single"/>
        </w:rPr>
        <w:t xml:space="preserve">CHECKLIST_HOMOLOGACAO_BDP.md</w:t>
      </w:r>
      <w:r>
        <w:t xml:space="preserve"> secção «Execução homologação».</w:t>
      </w:r>
    </w:p>
    <w:p>
      <w:pPr>
        <w:pStyle w:val="Heading2"/>
      </w:pPr>
      <w:r>
        <w:t xml:space="preserve">Simular APIs em falha</w:t>
      </w:r>
    </w:p>
    <w:p>
      <w:r>
        <w:t xml:space="preserve">Homologação dos cenários 6–9: </w:t>
      </w:r>
      <w:r>
        <w:rPr>
          <w:rFonts w:ascii="Consolas" w:cs="Consolas" w:eastAsia="Consolas" w:hAnsi="Consolas"/>
          <w:sz w:val="20"/>
          <w:szCs w:val="20"/>
        </w:rPr>
        <w:t xml:space="preserve">Compliance:RequireLiveIntegrations=true</w:t>
      </w:r>
      <w:r>
        <w:t xml:space="preserve"> sem URLs UIF/BdP/identidade, ou endpoints inválidos em staging.</w:t>
      </w:r>
    </w:p>
    <w:p>
      <w:pPr>
        <w:pStyle w:val="Heading2"/>
      </w:pPr>
      <w:r>
        <w:t xml:space="preserve">Responsáveis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Área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Owner</w:t>
            </w:r>
          </w:p>
        </w:tc>
      </w:tr>
      <w:tr>
        <w:tc>
          <w:p>
            <w:r>
              <w:t xml:space="preserve">E2E + dossier</w:t>
            </w:r>
          </w:p>
        </w:tc>
        <w:tc>
          <w:p>
            <w:r>
              <w:t xml:space="preserve">Analista AML + QA</w:t>
            </w:r>
          </w:p>
        </w:tc>
      </w:tr>
      <w:tr>
        <w:tc>
          <w:p>
            <w:r>
              <w:t xml:space="preserve">RPB</w:t>
            </w:r>
          </w:p>
        </w:tc>
        <w:tc>
          <w:p>
            <w:r>
              <w:t xml:space="preserve">Admin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KYC.Admin</w:t>
            </w:r>
          </w:p>
        </w:tc>
      </w:tr>
      <w:tr>
        <w:tc>
          <w:p>
            <w:r>
              <w:t xml:space="preserve">Pen test</w:t>
            </w:r>
          </w:p>
        </w:tc>
        <w:tc>
          <w:p>
            <w:r>
              <w:t xml:space="preserve">Infra + auditor</w:t>
            </w:r>
          </w:p>
        </w:tc>
      </w:tr>
      <w:tr>
        <w:tc>
          <w:p>
            <w:r>
              <w:t xml:space="preserve">PAC / compliance</w:t>
            </w:r>
          </w:p>
        </w:tc>
        <w:tc>
          <w:p>
            <w:r>
              <w:t xml:space="preserve">Equipa compliance</w:t>
            </w:r>
          </w:p>
        </w:tc>
      </w:tr>
    </w:tbl>
    <w:p/>
    <w:p>
      <w:pPr>
        <w:pStyle w:val="Heading1"/>
      </w:pPr>
      <w:r>
        <w:t xml:space="preserve">2. Checklist de homologação (estado)</w:t>
      </w:r>
    </w:p>
    <w:p>
      <w:pPr>
        <w:pStyle w:val="Heading1"/>
      </w:pPr>
      <w:r>
        <w:t xml:space="preserve">Checklist de Homologação BdP — KYC AI Platform</w:t>
      </w:r>
    </w:p>
    <w:p>
      <w:pPr>
        <w:pStyle w:val="Heading2"/>
      </w:pPr>
      <w:r>
        <w:t xml:space="preserve">Lei 83/2017 — AML/CFT</w:t>
      </w:r>
    </w:p>
    <w:p>
      <w:pPr>
        <w:pStyle w:val="ListParagraph"/>
        <w:numPr>
          <w:ilvl w:val="0"/>
          <w:numId w:val="1"/>
        </w:numPr>
      </w:pPr>
      <w:r>
        <w:t xml:space="preserve">[x] PAC versionada activa (</w:t>
      </w:r>
      <w:r>
        <w:rPr>
          <w:rFonts w:ascii="Consolas" w:cs="Consolas" w:eastAsia="Consolas" w:hAnsi="Consolas"/>
          <w:sz w:val="20"/>
          <w:szCs w:val="20"/>
        </w:rPr>
        <w:t xml:space="preserve">customer_acceptance_policies</w:t>
      </w:r>
      <w:r>
        <w:t xml:space="preserve">) — validação no </w:t>
      </w:r>
      <w:r>
        <w:rPr>
          <w:rFonts w:ascii="Consolas" w:cs="Consolas" w:eastAsia="Consolas" w:hAnsi="Consolas"/>
          <w:sz w:val="20"/>
          <w:szCs w:val="20"/>
        </w:rPr>
        <w:t xml:space="preserve">StartKycCase</w:t>
      </w:r>
    </w:p>
    <w:p>
      <w:pPr>
        <w:pStyle w:val="ListParagraph"/>
        <w:numPr>
          <w:ilvl w:val="0"/>
          <w:numId w:val="1"/>
        </w:numPr>
      </w:pPr>
      <w:r>
        <w:t xml:space="preserve">[x] DDC Simplificada/Standard/Reforçada calculada por caso</w:t>
      </w:r>
    </w:p>
    <w:p>
      <w:pPr>
        <w:pStyle w:val="ListParagraph"/>
        <w:numPr>
          <w:ilvl w:val="0"/>
          <w:numId w:val="1"/>
        </w:numPr>
      </w:pPr>
      <w:r>
        <w:t xml:space="preserve">[x] EDD: origem de fundos obrigatória antes de aprovação</w:t>
      </w:r>
    </w:p>
    <w:p>
      <w:pPr>
        <w:pStyle w:val="ListParagraph"/>
        <w:numPr>
          <w:ilvl w:val="0"/>
          <w:numId w:val="1"/>
        </w:numPr>
      </w:pPr>
      <w:r>
        <w:t xml:space="preserve">[x] Revisão periódica (</w:t>
      </w:r>
      <w:r>
        <w:rPr>
          <w:rFonts w:ascii="Consolas" w:cs="Consolas" w:eastAsia="Consolas" w:hAnsi="Consolas"/>
          <w:sz w:val="20"/>
          <w:szCs w:val="20"/>
        </w:rPr>
        <w:t xml:space="preserve">NextReviewDue</w:t>
      </w:r>
      <w:r>
        <w:t xml:space="preserve">) após aprovação</w:t>
      </w:r>
    </w:p>
    <w:p>
      <w:pPr>
        <w:pStyle w:val="ListParagraph"/>
        <w:numPr>
          <w:ilvl w:val="0"/>
          <w:numId w:val="1"/>
        </w:numPr>
      </w:pPr>
      <w:r>
        <w:t xml:space="preserve">[x] SAR/UIF com audit trail (</w:t>
      </w:r>
      <w:r>
        <w:rPr>
          <w:rFonts w:ascii="Consolas" w:cs="Consolas" w:eastAsia="Consolas" w:hAnsi="Consolas"/>
          <w:sz w:val="20"/>
          <w:szCs w:val="20"/>
        </w:rPr>
        <w:t xml:space="preserve">SarSubmitted</w:t>
      </w:r>
      <w:r>
        <w:t xml:space="preserve">, referência UIF)</w:t>
      </w:r>
    </w:p>
    <w:p>
      <w:pPr>
        <w:pStyle w:val="ListParagraph"/>
        <w:numPr>
          <w:ilvl w:val="0"/>
          <w:numId w:val="1"/>
        </w:numPr>
      </w:pPr>
      <w:r>
        <w:t xml:space="preserve">[x] SAR pendente + registo manual UIF (</w:t>
      </w:r>
      <w:r>
        <w:rPr>
          <w:rFonts w:ascii="Consolas" w:cs="Consolas" w:eastAsia="Consolas" w:hAnsi="Consolas"/>
          <w:sz w:val="20"/>
          <w:szCs w:val="20"/>
        </w:rPr>
        <w:t xml:space="preserve">SarApiFailedPendingManual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SarManualRegistered</w:t>
      </w:r>
      <w:r>
        <w:t xml:space="preserve">)</w:t>
      </w:r>
    </w:p>
    <w:p>
      <w:pPr>
        <w:pStyle w:val="ListParagraph"/>
        <w:numPr>
          <w:ilvl w:val="0"/>
          <w:numId w:val="1"/>
        </w:numPr>
      </w:pPr>
      <w:r>
        <w:t xml:space="preserve">[x] Denominação social manual se RCBE/GLEIF em falha (</w:t>
      </w:r>
      <w:r>
        <w:rPr>
          <w:rFonts w:ascii="Consolas" w:cs="Consolas" w:eastAsia="Consolas" w:hAnsi="Consolas"/>
          <w:sz w:val="20"/>
          <w:szCs w:val="20"/>
        </w:rPr>
        <w:t xml:space="preserve">LegalCompanyName</w:t>
      </w:r>
      <w:r>
        <w:t xml:space="preserve"> no arranque)</w:t>
      </w:r>
    </w:p>
    <w:p>
      <w:pPr>
        <w:pStyle w:val="ListParagraph"/>
        <w:numPr>
          <w:ilvl w:val="0"/>
          <w:numId w:val="1"/>
        </w:numPr>
      </w:pPr>
      <w:r>
        <w:t xml:space="preserve">[x] Sinais de risco manuais + confirmação analista (</w:t>
      </w:r>
      <w:r>
        <w:rPr>
          <w:rFonts w:ascii="Consolas" w:cs="Consolas" w:eastAsia="Consolas" w:hAnsi="Consolas"/>
          <w:sz w:val="20"/>
          <w:szCs w:val="20"/>
        </w:rPr>
        <w:t xml:space="preserve">AddManualRiskSignalCommand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OverrideSignal</w:t>
      </w:r>
      <w:r>
        <w:t xml:space="preserve">)</w:t>
      </w:r>
    </w:p>
    <w:p>
      <w:pPr>
        <w:pStyle w:val="Heading2"/>
      </w:pPr>
      <w:r>
        <w:t xml:space="preserve">Aviso BdP 1/2022</w:t>
      </w:r>
    </w:p>
    <w:p>
      <w:pPr>
        <w:pStyle w:val="ListParagraph"/>
        <w:numPr>
          <w:ilvl w:val="0"/>
          <w:numId w:val="1"/>
        </w:numPr>
      </w:pPr>
      <w:r>
        <w:t xml:space="preserve">[x] Verificação identidade (webhook + polling + UI métodos)</w:t>
      </w:r>
    </w:p>
    <w:p>
      <w:pPr>
        <w:pStyle w:val="ListParagraph"/>
        <w:numPr>
          <w:ilvl w:val="0"/>
          <w:numId w:val="1"/>
        </w:numPr>
      </w:pPr>
      <w:r>
        <w:t xml:space="preserve">[x] Verificação manual de contingência (</w:t>
      </w:r>
      <w:r>
        <w:rPr>
          <w:rFonts w:ascii="Consolas" w:cs="Consolas" w:eastAsia="Consolas" w:hAnsi="Consolas"/>
          <w:sz w:val="20"/>
          <w:szCs w:val="20"/>
        </w:rPr>
        <w:t xml:space="preserve">RecordManualIdentityVerificationCommand</w:t>
      </w:r>
      <w:r>
        <w:t xml:space="preserve">)</w:t>
      </w:r>
    </w:p>
    <w:p>
      <w:pPr>
        <w:pStyle w:val="ListParagraph"/>
        <w:numPr>
          <w:ilvl w:val="0"/>
          <w:numId w:val="1"/>
        </w:numPr>
      </w:pPr>
      <w:r>
        <w:t xml:space="preserve">[x] Bloqueio aprovação se UBO/admin não verificado</w:t>
      </w:r>
    </w:p>
    <w:p>
      <w:pPr>
        <w:pStyle w:val="ListParagraph"/>
        <w:numPr>
          <w:ilvl w:val="0"/>
          <w:numId w:val="1"/>
        </w:numPr>
      </w:pPr>
      <w:r>
        <w:t xml:space="preserve">[x] 4-eyes em EDD (</w:t>
      </w:r>
      <w:r>
        <w:rPr>
          <w:rFonts w:ascii="Consolas" w:cs="Consolas" w:eastAsia="Consolas" w:hAnsi="Consolas"/>
          <w:sz w:val="20"/>
          <w:szCs w:val="20"/>
        </w:rPr>
        <w:t xml:space="preserve">SecondApproverId</w:t>
      </w:r>
      <w:r>
        <w:t xml:space="preserve">)</w:t>
      </w:r>
    </w:p>
    <w:p>
      <w:pPr>
        <w:pStyle w:val="Heading2"/>
      </w:pPr>
      <w:r>
        <w:t xml:space="preserve">Lei 97/2017 — Congelamento</w:t>
      </w:r>
    </w:p>
    <w:p>
      <w:pPr>
        <w:pStyle w:val="ListParagraph"/>
        <w:numPr>
          <w:ilvl w:val="0"/>
          <w:numId w:val="1"/>
        </w:numPr>
      </w:pPr>
      <w:r>
        <w:t xml:space="preserve">[x] Notificação automática ao confirmar sanção</w:t>
      </w:r>
    </w:p>
    <w:p>
      <w:pPr>
        <w:pStyle w:val="ListParagraph"/>
        <w:numPr>
          <w:ilvl w:val="0"/>
          <w:numId w:val="1"/>
        </w:numPr>
      </w:pPr>
      <w:r>
        <w:t xml:space="preserve">[x] </w:t>
      </w:r>
      <w:r>
        <w:rPr>
          <w:rFonts w:ascii="Consolas" w:cs="Consolas" w:eastAsia="Consolas" w:hAnsi="Consolas"/>
          <w:sz w:val="20"/>
          <w:szCs w:val="20"/>
        </w:rPr>
        <w:t xml:space="preserve">AssetFreezeNotified</w:t>
      </w:r>
      <w:r>
        <w:t xml:space="preserve"> registado</w:t>
      </w:r>
    </w:p>
    <w:p>
      <w:pPr>
        <w:pStyle w:val="ListParagraph"/>
        <w:numPr>
          <w:ilvl w:val="0"/>
          <w:numId w:val="1"/>
        </w:numPr>
      </w:pPr>
      <w:r>
        <w:t xml:space="preserve">[x] Registo manual ref. BdP se API falhar (</w:t>
      </w:r>
      <w:r>
        <w:rPr>
          <w:rFonts w:ascii="Consolas" w:cs="Consolas" w:eastAsia="Consolas" w:hAnsi="Consolas"/>
          <w:sz w:val="20"/>
          <w:szCs w:val="20"/>
        </w:rPr>
        <w:t xml:space="preserve">RegisterManualAssetFreezeReferenceCommand</w:t>
      </w:r>
      <w:r>
        <w:t xml:space="preserve">)</w:t>
      </w:r>
    </w:p>
    <w:p>
      <w:pPr>
        <w:pStyle w:val="Heading2"/>
      </w:pPr>
      <w:r>
        <w:t xml:space="preserve">Instrução BdP 8/2024 — RPB</w:t>
      </w:r>
    </w:p>
    <w:p>
      <w:pPr>
        <w:pStyle w:val="ListParagraph"/>
        <w:numPr>
          <w:ilvl w:val="0"/>
          <w:numId w:val="1"/>
        </w:numPr>
      </w:pPr>
      <w:r>
        <w:t xml:space="preserve">[x] Geração anual </w:t>
      </w:r>
      <w:r>
        <w:rPr>
          <w:rFonts w:ascii="Consolas" w:cs="Consolas" w:eastAsia="Consolas" w:hAnsi="Consolas"/>
          <w:sz w:val="20"/>
          <w:szCs w:val="20"/>
        </w:rPr>
        <w:t xml:space="preserve">AmlComplianceReport</w:t>
      </w:r>
    </w:p>
    <w:p>
      <w:pPr>
        <w:pStyle w:val="ListParagraph"/>
        <w:numPr>
          <w:ilvl w:val="0"/>
          <w:numId w:val="1"/>
        </w:numPr>
      </w:pPr>
      <w:r>
        <w:t xml:space="preserve">[x] Export JSON interno + XML BdP (</w:t>
      </w:r>
      <w:r>
        <w:rPr>
          <w:rFonts w:ascii="Consolas" w:cs="Consolas" w:eastAsia="Consolas" w:hAnsi="Consolas"/>
          <w:sz w:val="20"/>
          <w:szCs w:val="20"/>
        </w:rPr>
        <w:t xml:space="preserve">?format=bdp</w:t>
      </w:r>
      <w:r>
        <w:t xml:space="preserve">)</w:t>
      </w:r>
    </w:p>
    <w:p>
      <w:pPr>
        <w:pStyle w:val="Heading2"/>
      </w:pPr>
      <w:r>
        <w:t xml:space="preserve">RGPD</w:t>
      </w:r>
    </w:p>
    <w:p>
      <w:pPr>
        <w:pStyle w:val="ListParagraph"/>
        <w:numPr>
          <w:ilvl w:val="0"/>
          <w:numId w:val="1"/>
        </w:numPr>
      </w:pPr>
      <w:r>
        <w:t xml:space="preserve">[x] DPIA activa registada (Admin criar versão)</w:t>
      </w:r>
    </w:p>
    <w:p>
      <w:pPr>
        <w:pStyle w:val="ListParagraph"/>
        <w:numPr>
          <w:ilvl w:val="0"/>
          <w:numId w:val="1"/>
        </w:numPr>
      </w:pPr>
      <w:r>
        <w:t xml:space="preserve">[x] Audit trail imutável (trigger </w:t>
      </w:r>
      <w:r>
        <w:rPr>
          <w:rFonts w:ascii="Consolas" w:cs="Consolas" w:eastAsia="Consolas" w:hAnsi="Consolas"/>
          <w:sz w:val="20"/>
          <w:szCs w:val="20"/>
        </w:rPr>
        <w:t xml:space="preserve">tr_audit_entries_immutable</w:t>
      </w:r>
      <w:r>
        <w:t xml:space="preserve"> na migration BdP)</w:t>
      </w:r>
    </w:p>
    <w:p>
      <w:pPr>
        <w:pStyle w:val="ListParagraph"/>
        <w:numPr>
          <w:ilvl w:val="0"/>
          <w:numId w:val="1"/>
        </w:numPr>
      </w:pPr>
      <w:r>
        <w:t xml:space="preserve">[x] Auto-approve apenas Low risk (score ≤30, sem High/Critical/sanções)</w:t>
      </w:r>
    </w:p>
    <w:p>
      <w:pPr>
        <w:pStyle w:val="ListParagraph"/>
        <w:numPr>
          <w:ilvl w:val="0"/>
          <w:numId w:val="1"/>
        </w:numPr>
      </w:pPr>
      <w:r>
        <w:t xml:space="preserve">[x] Secção explainability no relatório (Art. 22)</w:t>
      </w:r>
    </w:p>
    <w:p>
      <w:pPr>
        <w:pStyle w:val="Heading2"/>
      </w:pPr>
      <w:r>
        <w:t xml:space="preserve">Execução homologação (evidências)</w:t>
      </w:r>
    </w:p>
    <w:p>
      <w:pPr>
        <w:pStyle w:val="ListParagraph"/>
        <w:numPr>
          <w:ilvl w:val="0"/>
          <w:numId w:val="1"/>
        </w:numPr>
      </w:pPr>
      <w:r>
        <w:t xml:space="preserve">[x] E2E cenários 1–10 executados (testes auto + UI 2–5) — ver </w:t>
      </w:r>
      <w:r>
        <w:rPr>
          <w:u w:val="single"/>
        </w:rPr>
        <w:t xml:space="preserve">E2E_HOMOLOGACAO.md</w:t>
      </w:r>
      <w:r>
        <w:t xml:space="preserve"> §Registo (2026-05-31)</w:t>
      </w:r>
    </w:p>
    <w:p>
      <w:pPr>
        <w:pStyle w:val="ListParagraph"/>
        <w:numPr>
          <w:ilvl w:val="0"/>
          <w:numId w:val="1"/>
        </w:numPr>
      </w:pPr>
      <w:r>
        <w:t xml:space="preserve">[x] Dossier preenchido em </w:t>
      </w:r>
      <w:r>
        <w:rPr>
          <w:rFonts w:ascii="Consolas" w:cs="Consolas" w:eastAsia="Consolas" w:hAnsi="Consolas"/>
          <w:sz w:val="20"/>
          <w:szCs w:val="20"/>
        </w:rPr>
        <w:t xml:space="preserve">docs/dossier/</w:t>
      </w:r>
      <w:r>
        <w:t xml:space="preserve"> (parcial: falta </w:t>
      </w:r>
      <w:r>
        <w:rPr>
          <w:rFonts w:ascii="Consolas" w:cs="Consolas" w:eastAsia="Consolas" w:hAnsi="Consolas"/>
          <w:sz w:val="20"/>
          <w:szCs w:val="20"/>
        </w:rPr>
        <w:t xml:space="preserve">01-pac/</w:t>
      </w:r>
      <w:r>
        <w:t xml:space="preserve"> prints, </w:t>
      </w:r>
      <w:r>
        <w:rPr>
          <w:rFonts w:ascii="Consolas" w:cs="Consolas" w:eastAsia="Consolas" w:hAnsi="Consolas"/>
          <w:sz w:val="20"/>
          <w:szCs w:val="20"/>
        </w:rPr>
        <w:t xml:space="preserve">10-seguranca/</w:t>
      </w:r>
      <w:r>
        <w:t xml:space="preserve">)</w:t>
      </w:r>
    </w:p>
    <w:p>
      <w:pPr>
        <w:pStyle w:val="ListParagraph"/>
        <w:numPr>
          <w:ilvl w:val="0"/>
          <w:numId w:val="1"/>
        </w:numPr>
      </w:pPr>
      <w:r>
        <w:t xml:space="preserve">[ ] Pen test — </w:t>
      </w:r>
      <w:r>
        <w:rPr>
          <w:u w:val="single"/>
        </w:rPr>
        <w:t xml:space="preserve">SECURITY_PEN_TEST_CHECKLIST.md</w:t>
      </w:r>
    </w:p>
    <w:p>
      <w:r>
        <w:t xml:space="preserve">_Data homologação:_ 2026-05-31 _Responsável:_ homologação técnica (auto + Playwright UI)</w:t>
      </w:r>
    </w:p>
    <w:p>
      <w:pPr>
        <w:pStyle w:val="Heading2"/>
      </w:pPr>
      <w:r>
        <w:t xml:space="preserve">Operacional</w:t>
      </w:r>
    </w:p>
    <w:p>
      <w:pPr>
        <w:pStyle w:val="ListParagraph"/>
        <w:numPr>
          <w:ilvl w:val="0"/>
          <w:numId w:val="1"/>
        </w:numPr>
      </w:pPr>
      <w:r>
        <w:t xml:space="preserve">[x] Health check </w:t>
      </w:r>
      <w:r>
        <w:rPr>
          <w:rFonts w:ascii="Consolas" w:cs="Consolas" w:eastAsia="Consolas" w:hAnsi="Consolas"/>
          <w:sz w:val="20"/>
          <w:szCs w:val="20"/>
        </w:rPr>
        <w:t xml:space="preserve">/health</w:t>
      </w:r>
    </w:p>
    <w:p>
      <w:pPr>
        <w:pStyle w:val="ListParagraph"/>
        <w:numPr>
          <w:ilvl w:val="0"/>
          <w:numId w:val="1"/>
        </w:numPr>
      </w:pPr>
      <w:r>
        <w:t xml:space="preserve">[x] Secrets fora do repositório (</w:t>
      </w:r>
      <w:r>
        <w:rPr>
          <w:rFonts w:ascii="Consolas" w:cs="Consolas" w:eastAsia="Consolas" w:hAnsi="Consolas"/>
          <w:sz w:val="20"/>
          <w:szCs w:val="20"/>
        </w:rPr>
        <w:t xml:space="preserve">.env</w:t>
      </w:r>
      <w:r>
        <w:t xml:space="preserve"> no </w:t>
      </w:r>
      <w:r>
        <w:rPr>
          <w:rFonts w:ascii="Consolas" w:cs="Consolas" w:eastAsia="Consolas" w:hAnsi="Consolas"/>
          <w:sz w:val="20"/>
          <w:szCs w:val="20"/>
        </w:rPr>
        <w:t xml:space="preserve">.gitignore</w:t>
      </w:r>
      <w:r>
        <w:t xml:space="preserve">, usar </w:t>
      </w:r>
      <w:r>
        <w:rPr>
          <w:rFonts w:ascii="Consolas" w:cs="Consolas" w:eastAsia="Consolas" w:hAnsi="Consolas"/>
          <w:sz w:val="20"/>
          <w:szCs w:val="20"/>
        </w:rPr>
        <w:t xml:space="preserve">.env.example</w:t>
      </w:r>
      <w:r>
        <w:t xml:space="preserve">)</w:t>
      </w:r>
    </w:p>
    <w:p>
      <w:pPr>
        <w:pStyle w:val="ListParagraph"/>
        <w:numPr>
          <w:ilvl w:val="0"/>
          <w:numId w:val="1"/>
        </w:numPr>
      </w:pPr>
      <w:r>
        <w:t xml:space="preserve">[x] Deploy on-prem documentado (</w:t>
      </w:r>
      <w:r>
        <w:rPr>
          <w:rFonts w:ascii="Consolas" w:cs="Consolas" w:eastAsia="Consolas" w:hAnsi="Consolas"/>
          <w:sz w:val="20"/>
          <w:szCs w:val="20"/>
        </w:rPr>
        <w:t xml:space="preserve">docker-compose.prod.yml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docs/DEPLOY_ONPREM.md</w:t>
      </w:r>
      <w:r>
        <w:t xml:space="preserve">)</w:t>
      </w:r>
    </w:p>
    <w:p>
      <w:pPr>
        <w:pStyle w:val="ListParagraph"/>
        <w:numPr>
          <w:ilvl w:val="0"/>
          <w:numId w:val="1"/>
        </w:numPr>
      </w:pPr>
      <w:r>
        <w:t xml:space="preserve">[x] CI pipeline (</w:t>
      </w:r>
      <w:r>
        <w:rPr>
          <w:rFonts w:ascii="Consolas" w:cs="Consolas" w:eastAsia="Consolas" w:hAnsi="Consolas"/>
          <w:sz w:val="20"/>
          <w:szCs w:val="20"/>
        </w:rPr>
        <w:t xml:space="preserve">/.github/workflows/ci.yml</w:t>
      </w:r>
      <w:r>
        <w:t xml:space="preserve"> — build, migrate, test)</w:t>
      </w:r>
    </w:p>
    <w:p>
      <w:pPr>
        <w:pStyle w:val="Heading1"/>
      </w:pPr>
      <w:r>
        <w:t xml:space="preserve">3. Evidências visuais — Execução 2026-05-31</w:t>
      </w:r>
    </w:p>
    <w:p>
      <w:r>
        <w:t xml:space="preserve">Capturas de ecrã dos cenários E2E UI (2–5) executados via Playwright. Ambiente: http://localhost:5299 · BD: azureopsagent @ 195.179.193.136:5433</w:t>
      </w:r>
    </w:p>
    <w:p>
      <w:r>
        <w:br w:type="page"/>
      </w:r>
    </w:p>
    <w:p>
      <w:pPr>
        <w:pStyle w:val="Heading2"/>
      </w:pPr>
      <w:r>
        <w:t xml:space="preserve">Cenário 5 — RPB (Relatório de Prevenção ao Branqueamento)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Ecrã Admin RPB antes de gerar</w:t>
      </w:r>
    </w:p>
    <w:p>
      <w:pPr>
        <w:jc w:val="center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RPB gerado com métricas</w:t>
      </w:r>
    </w:p>
    <w:p>
      <w:pPr>
        <w:jc w:val="center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RPB submetido com referência BdP</w:t>
      </w:r>
    </w:p>
    <w:p>
      <w:pPr>
        <w:jc w:val="center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 xml:space="preserve">Cenário 3 — SAR / UIF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Modal SAR — narrativa ≥200 caracteres</w:t>
      </w:r>
    </w:p>
    <w:p>
      <w:pPr>
        <w:jc w:val="center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SAR submetido com sucesso</w:t>
      </w:r>
    </w:p>
    <w:p>
      <w:pPr>
        <w:jc w:val="center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SAR marcado como não aplicável</w:t>
      </w:r>
    </w:p>
    <w:p>
      <w:pPr>
        <w:jc w:val="center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Lista de casos — badges SAR e DDC</w:t>
      </w:r>
    </w:p>
    <w:p>
      <w:pPr>
        <w:jc w:val="center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 xml:space="preserve">Cenário 2 — Verificação de identidade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Modal verificação identidade (4 métodos)</w:t>
      </w:r>
    </w:p>
    <w:p>
      <w:pPr>
        <w:jc w:val="center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Badge Verificado após webhook</w:t>
      </w:r>
    </w:p>
    <w:p>
      <w:pPr>
        <w:jc w:val="center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Aprovação bloqueada — UBO pendente</w:t>
      </w:r>
    </w:p>
    <w:p>
      <w:pPr>
        <w:jc w:val="center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 xml:space="preserve">Cenário 4 — EDD 4-eyes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Origem dos fundos (EDD)</w:t>
      </w:r>
    </w:p>
    <w:p>
      <w:pPr>
        <w:jc w:val="center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Verificação presencial registada</w:t>
      </w:r>
    </w:p>
    <w:p>
      <w:pPr>
        <w:jc w:val="center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Segundo aprovador seleccionado</w:t>
      </w:r>
    </w:p>
    <w:p>
      <w:pPr>
        <w:jc w:val="center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Caso EDD aprovado com 4-eyes</w:t>
      </w:r>
    </w:p>
    <w:p>
      <w:pPr>
        <w:jc w:val="center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 xml:space="preserve">Anexo — Export XML RPB BdP</w:t>
      </w:r>
    </w:p>
    <w:p>
      <w:pPr>
        <w:shd w:fill="F5F5F5" w:val="clear"/>
      </w:pPr>
      <w:r>
        <w:rPr>
          <w:rFonts w:ascii="Consolas" w:cs="Consolas" w:eastAsia="Consolas" w:hAnsi="Consolas"/>
          <w:sz w:val="16"/>
          <w:szCs w:val="16"/>
        </w:rPr>
        <w:t xml:space="preserve">﻿&lt;?xml version="1.0" encoding="utf-8" standalone="yes"?&gt;
&lt;RelatorioPrevencaoBranqueamento ano="2026" versaoPlataforma="1.0.0"&gt;
  &lt;Metadados&gt;
    &lt;GeradoEm&gt;2026-05-31T01:47:48.0291350Z&lt;/GeradoEm&gt;
    &lt;GeradoPor&gt;admin&lt;/GeradoPor&gt;
    &lt;Estado&gt;Draft&lt;/Estado&gt;
    &lt;ReferenciaBdP&gt;&lt;/ReferenciaBdP&gt;
  &lt;/Metadados&gt;
  &lt;Secao1_EstruturaOrganizacional&gt;
    &lt;TotalAnalistasAml&gt;0&lt;/TotalAnalistasAml&gt;
    &lt;TotalCasosProcessados&gt;48&lt;/TotalCasosProcessados&gt;
  &lt;/Secao1_EstruturaOrganizacional&gt;
  &lt;Secao2_DistribuicaoRisco&gt;
    &lt;CasosBaixoRisco&gt;4&lt;/CasosBaixoRisco&gt;
    &lt;CasosMedioRisco&gt;10&lt;/CasosMedioRisco&gt;
    &lt;CasosAltoRisco&gt;1&lt;/CasosAltoRisco&gt;
    &lt;CasosCriticoRisco&gt;10&lt;/CasosCriticoRisco&gt;
  &lt;/Secao2_DistribuicaoRisco&gt;
  &lt;Secao3_SinaisComunicacoes&gt;
    &lt;TotalSinais&gt;76&lt;/TotalSinais&gt;
    &lt;CorrespondenciasSancoes&gt;12&lt;/CorrespondenciasSancoes&gt;
    &lt;CorrespondenciasPep&gt;0&lt;/CorrespondenciasPep&gt;
    &lt;ComunicacoesUif&gt;5&lt;/ComunicacoesUif&gt;
    &lt;NotificacoesCongelamento&gt;7&lt;/NotificacoesCongelamento&gt;
  &lt;/Secao3_SinaisComunicacoes&gt;
  &lt;Secao4_Diligencia&gt;
    &lt;DdcSimplificada&gt;14&lt;/DdcSimplificada&gt;
    &lt;DdcStandard&gt;32&lt;/DdcStandard&gt;
    &lt;DdcReforcada&gt;2&lt;/DdcReforcada&gt;
    &lt;RevisoesPeriodicasConcluidas&gt;3&lt;/RevisoesPeriodicasConcluidas&gt;
    &lt;RevisoesPeriodicasEmAtraso&gt;0&lt;/RevisoesPeriodicasEmAtraso&gt;
  &lt;/Secao4_Diligencia&gt;
  &lt;Secao5_TecnologiaIA&gt;
    &lt;ModelosIa&gt;{"provider":"ollama-local","local":"qwen3.5:9b","localVersion":"latest","scoringVersion":"1.0.0","promptHash":"0000000000000000000000000000000000000000000000000000000000000000","embeddings":"qwen3-embedding:8b"}&lt;/ModelosIa&gt;
  &lt;/Secao5_TecnologiaIA&gt;
&lt;/RelatorioPrevencaoBranqueamento&gt;</w:t>
      </w:r>
    </w:p>
    <w:p>
      <w:r>
        <w:br w:type="page"/>
      </w:r>
    </w:p>
    <w:p>
      <w:pPr>
        <w:pStyle w:val="Heading1"/>
      </w:pPr>
      <w:r>
        <w:t xml:space="preserve">4. Assinaturas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Função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Nome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Assinatura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Data</w:t>
            </w:r>
          </w:p>
        </w:tc>
      </w:tr>
      <w:tr>
        <w:tc>
          <w:p>
            <w:pPr>
              <w:spacing w:after="400" w:before="400"/>
            </w:pPr>
            <w:r>
              <w:t xml:space="preserve">Analista AML / QA</w:t>
            </w:r>
          </w:p>
        </w:tc>
        <w:tc>
          <w:p>
            <w:pPr>
              <w:spacing w:after="400" w:before="400"/>
            </w:pPr>
            <w:r>
              <w:t xml:space="preserve"/>
            </w:r>
          </w:p>
        </w:tc>
        <w:tc>
          <w:p>
            <w:pPr>
              <w:spacing w:after="400" w:before="400"/>
            </w:pPr>
            <w:r>
              <w:t xml:space="preserve"/>
            </w:r>
          </w:p>
        </w:tc>
        <w:tc>
          <w:p>
            <w:pPr>
              <w:spacing w:after="400" w:before="400"/>
            </w:pPr>
            <w:r>
              <w:t xml:space="preserve"/>
            </w:r>
          </w:p>
        </w:tc>
      </w:tr>
      <w:tr>
        <w:tc>
          <w:p>
            <w:pPr>
              <w:spacing w:after="400" w:before="400"/>
            </w:pPr>
            <w:r>
              <w:t xml:space="preserve">Responsável Compliance</w:t>
            </w:r>
          </w:p>
        </w:tc>
        <w:tc>
          <w:p>
            <w:pPr>
              <w:spacing w:after="400" w:before="400"/>
            </w:pPr>
            <w:r>
              <w:t xml:space="preserve"/>
            </w:r>
          </w:p>
        </w:tc>
        <w:tc>
          <w:p>
            <w:pPr>
              <w:spacing w:after="400" w:before="400"/>
            </w:pPr>
            <w:r>
              <w:t xml:space="preserve"/>
            </w:r>
          </w:p>
        </w:tc>
        <w:tc>
          <w:p>
            <w:pPr>
              <w:spacing w:after="400" w:before="400"/>
            </w:pPr>
            <w:r>
              <w:t xml:space="preserve"/>
            </w:r>
          </w:p>
        </w:tc>
      </w:tr>
      <w:tr>
        <w:tc>
          <w:p>
            <w:pPr>
              <w:spacing w:after="400" w:before="400"/>
            </w:pPr>
            <w:r>
              <w:t xml:space="preserve">CISO / DPO</w:t>
            </w:r>
          </w:p>
        </w:tc>
        <w:tc>
          <w:p>
            <w:pPr>
              <w:spacing w:after="400" w:before="400"/>
            </w:pPr>
            <w:r>
              <w:t xml:space="preserve"/>
            </w:r>
          </w:p>
        </w:tc>
        <w:tc>
          <w:p>
            <w:pPr>
              <w:spacing w:after="400" w:before="400"/>
            </w:pPr>
            <w:r>
              <w:t xml:space="preserve"/>
            </w:r>
          </w:p>
        </w:tc>
        <w:tc>
          <w:p>
            <w:pPr>
              <w:spacing w:after="400" w:before="400"/>
            </w:pPr>
            <w:r>
              <w:t xml:space="preserve"/>
            </w:r>
          </w:p>
        </w:tc>
      </w:tr>
      <w:tr>
        <w:tc>
          <w:p>
            <w:pPr>
              <w:spacing w:after="400" w:before="400"/>
            </w:pPr>
            <w:r>
              <w:t xml:space="preserve">Admin RPB</w:t>
            </w:r>
          </w:p>
        </w:tc>
        <w:tc>
          <w:p>
            <w:pPr>
              <w:spacing w:after="400" w:before="400"/>
            </w:pPr>
            <w:r>
              <w:t xml:space="preserve"/>
            </w:r>
          </w:p>
        </w:tc>
        <w:tc>
          <w:p>
            <w:pPr>
              <w:spacing w:after="400" w:before="400"/>
            </w:pPr>
            <w:r>
              <w:t xml:space="preserve"/>
            </w:r>
          </w:p>
        </w:tc>
        <w:tc>
          <w:p>
            <w:pPr>
              <w:spacing w:after="400" w:before="400"/>
            </w:pPr>
            <w:r>
              <w:t xml:space="preserve"/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eaf47521056e7c35312935bf3b92ffab70f9997.png"/><Relationship Id="rId8" Type="http://schemas.openxmlformats.org/officeDocument/2006/relationships/image" Target="media/50c7d99735c9db25f86e08b12eb229517473ea57.png"/><Relationship Id="rId9" Type="http://schemas.openxmlformats.org/officeDocument/2006/relationships/image" Target="media/58bf8bd8470e66543e59877478ad925d62d5c59b.png"/><Relationship Id="rId10" Type="http://schemas.openxmlformats.org/officeDocument/2006/relationships/image" Target="media/7c7b08684ea0ca5aca3956b2ae5513b3a8baacc8.png"/><Relationship Id="rId11" Type="http://schemas.openxmlformats.org/officeDocument/2006/relationships/image" Target="media/77716dbf184b6964882588662b7b1e141f4bf506.png"/><Relationship Id="rId12" Type="http://schemas.openxmlformats.org/officeDocument/2006/relationships/image" Target="media/0374ace6e1f60e2a294c57230f3f620bf9a42ce9.png"/><Relationship Id="rId13" Type="http://schemas.openxmlformats.org/officeDocument/2006/relationships/image" Target="media/c7ece09f9c53b9f8fd0a7384fe62b2eec134c5fd.png"/><Relationship Id="rId14" Type="http://schemas.openxmlformats.org/officeDocument/2006/relationships/image" Target="media/fa27965ce8a1c5889e188100b0c4fc671d9e7b3a.png"/><Relationship Id="rId15" Type="http://schemas.openxmlformats.org/officeDocument/2006/relationships/image" Target="media/d98f9af62e6f0c79e89748509358f69ee1fabb56.png"/><Relationship Id="rId16" Type="http://schemas.openxmlformats.org/officeDocument/2006/relationships/image" Target="media/bc61fc6c33c9d0c00242f312845f42b19e86b128.png"/><Relationship Id="rId17" Type="http://schemas.openxmlformats.org/officeDocument/2006/relationships/image" Target="media/367cc1f3389b6578b78635c8e6fea1e39a16ac58.png"/><Relationship Id="rId18" Type="http://schemas.openxmlformats.org/officeDocument/2006/relationships/image" Target="media/942828f9a6be8b944fdd915f5d48ada55de97138.png"/><Relationship Id="rId19" Type="http://schemas.openxmlformats.org/officeDocument/2006/relationships/image" Target="media/d14dcc396930099562fcd4f20335b011d382f3ff.png"/><Relationship Id="rId20" Type="http://schemas.openxmlformats.org/officeDocument/2006/relationships/image" Target="media/6d9edc4566dd09dcc30bdf640c3f6d05db04d445.pn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Dossier de Evidências — Homologação BdP</dc:title>
  <dc:creator>KYC Platform</dc:creator>
  <cp:lastModifiedBy>Un-named</cp:lastModifiedBy>
  <cp:revision>1</cp:revision>
  <dcterms:created xsi:type="dcterms:W3CDTF">2026-05-31T11:54:51.898Z</dcterms:created>
  <dcterms:modified xsi:type="dcterms:W3CDTF">2026-05-31T11:54:51.898Z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