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color w:val="1F4E79"/>
          <w:sz w:val="28"/>
          <w:szCs w:val="28"/>
        </w:rPr>
        <w:t xml:space="preserve">KYC AI Platform</w:t>
      </w:r>
    </w:p>
    <w:p>
      <w:pPr>
        <w:spacing w:before="400"/>
        <w:jc w:val="center"/>
      </w:pPr>
      <w:r>
        <w:rPr>
          <w:b/>
          <w:bCs/>
          <w:color w:val="1F4E79"/>
          <w:sz w:val="44"/>
          <w:szCs w:val="44"/>
        </w:rPr>
        <w:t xml:space="preserve">Governança e Segurança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Políticas, riscos e checklist de segurança para homologação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Versão: </w:t>
      </w:r>
      <w:r>
        <w:rPr>
          <w:sz w:val="22"/>
          <w:szCs w:val="22"/>
        </w:rPr>
        <w:t xml:space="preserve">Maio 2026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Classificação: </w:t>
      </w:r>
      <w:r>
        <w:rPr>
          <w:sz w:val="22"/>
          <w:szCs w:val="22"/>
        </w:rPr>
        <w:t xml:space="preserve">Confidencial — Uso interno / Homologação BdP</w:t>
      </w:r>
    </w:p>
    <w:p>
      <w:pPr>
        <w:spacing w:before="120"/>
        <w:jc w:val="center"/>
      </w:pPr>
      <w:r>
        <w:rPr>
          <w:b/>
          <w:bCs/>
          <w:sz w:val="22"/>
          <w:szCs w:val="22"/>
        </w:rPr>
        <w:t xml:space="preserve">Data de geração: </w:t>
      </w:r>
      <w:r>
        <w:rPr>
          <w:sz w:val="22"/>
          <w:szCs w:val="22"/>
        </w:rPr>
        <w:t xml:space="preserve">2026-05-31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Política de Criptografia</w:t>
      </w:r>
    </w:p>
    <w:p>
      <w:pPr>
        <w:pStyle w:val="Heading1"/>
      </w:pPr>
      <w:r>
        <w:t xml:space="preserve">Política de Criptografia — KYC AI Platform</w:t>
      </w:r>
    </w:p>
    <w:p>
      <w:pPr>
        <w:spacing w:after="80" w:before="80"/>
        <w:ind w:left="720"/>
      </w:pPr>
      <w:r>
        <w:rPr>
          <w:b/>
          <w:bCs/>
        </w:rPr>
        <w:t xml:space="preserve">Versão:</w:t>
      </w:r>
      <w:r>
        <w:t xml:space="preserve"> 1.0 · Alinhada com controlos técnicos implementados</w:t>
      </w:r>
    </w:p>
    <w:p>
      <w:pPr>
        <w:pStyle w:val="Heading2"/>
      </w:pPr>
      <w:r>
        <w:t xml:space="preserve">1. Criptografia em trânsito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Algoritmo / protocolo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Configuração</w:t>
            </w:r>
          </w:p>
        </w:tc>
      </w:tr>
      <w:tr>
        <w:tc>
          <w:p>
            <w:r>
              <w:t xml:space="preserve">Browser ↔ aplicação</w:t>
            </w:r>
          </w:p>
        </w:tc>
        <w:tc>
          <w:p>
            <w:r>
              <w:t xml:space="preserve">TLS 1.2+</w:t>
            </w:r>
          </w:p>
        </w:tc>
        <w:tc>
          <w:p>
            <w:r>
              <w:t xml:space="preserve">HTTPS obrigatório homologação/prod; HSTS</w:t>
            </w:r>
          </w:p>
        </w:tc>
      </w:tr>
      <w:tr>
        <w:tc>
          <w:p>
            <w:r>
              <w:t xml:space="preserve">API externas (UIF, BdP, identidade)</w:t>
            </w:r>
          </w:p>
        </w:tc>
        <w:tc>
          <w:p>
            <w:r>
              <w:t xml:space="preserve">TLS 1.2+</w:t>
            </w:r>
          </w:p>
        </w:tc>
        <w:tc>
          <w:p>
            <w:r>
              <w:t xml:space="preserve">HttpClient .NET com validação certificado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TLS opcional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KYC_DB_CONNECTION</w:t>
            </w:r>
            <w:r>
              <w:t xml:space="preserve">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SSL Mode</w:t>
            </w:r>
            <w:r>
              <w:t xml:space="preserve"> conforme infra</w:t>
            </w:r>
          </w:p>
        </w:tc>
      </w:tr>
      <w:tr>
        <w:tc>
          <w:p>
            <w:r>
              <w:t xml:space="preserve">Ollama</w:t>
            </w:r>
          </w:p>
        </w:tc>
        <w:tc>
          <w:p>
            <w:r>
              <w:t xml:space="preserve">TLS recomendado</w:t>
            </w:r>
          </w:p>
        </w:tc>
        <w:tc>
          <w:p>
            <w:r>
              <w:t xml:space="preserve">Rede interna ou TLS no reverse proxy</w:t>
            </w:r>
          </w:p>
        </w:tc>
      </w:tr>
    </w:tbl>
    <w:p/>
    <w:p>
      <w:pPr>
        <w:pStyle w:val="Heading2"/>
      </w:pPr>
      <w:r>
        <w:t xml:space="preserve">2. Criptografia em repouso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Responsável</w:t>
            </w:r>
          </w:p>
        </w:tc>
      </w:tr>
      <w:tr>
        <w:tc>
          <w:p>
            <w:r>
              <w:t xml:space="preserve">PostgreSQL</w:t>
            </w:r>
          </w:p>
        </w:tc>
        <w:tc>
          <w:p>
            <w:r>
              <w:t xml:space="preserve">TDE / volume encrypt (infra)</w:t>
            </w:r>
          </w:p>
        </w:tc>
        <w:tc>
          <w:p>
            <w:r>
              <w:t xml:space="preserve">Equipa infra / cloud provider</w:t>
            </w:r>
          </w:p>
        </w:tc>
      </w:tr>
      <w:tr>
        <w:tc>
          <w:p>
            <w:r>
              <w:t xml:space="preserve">Ficheiros documentos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Data/cases/</w:t>
            </w:r>
          </w:p>
        </w:tc>
        <w:tc>
          <w:p>
            <w:r>
              <w:t xml:space="preserve">Encriptação disco servidor</w:t>
            </w:r>
          </w:p>
        </w:tc>
        <w:tc>
          <w:p>
            <w:r>
              <w:t xml:space="preserve">SO / volume LUKS ou storage encrypt</w:t>
            </w:r>
          </w:p>
        </w:tc>
      </w:tr>
      <w:tr>
        <w:tc>
          <w:p>
            <w:r>
              <w:t xml:space="preserve">Secrets</w:t>
            </w:r>
          </w:p>
        </w:tc>
        <w:tc>
          <w:p>
            <w:r>
              <w:t xml:space="preserve">Azure Key Vault ou variáveis ambiente</w:t>
            </w:r>
          </w:p>
        </w:tc>
        <w:tc>
          <w:p>
            <w:r>
              <w:t xml:space="preserve">DevOps</w:t>
            </w:r>
          </w:p>
        </w:tc>
      </w:tr>
      <w:tr>
        <w:tc>
          <w:p>
            <w:r>
              <w:t xml:space="preserve">Backups BD</w:t>
            </w:r>
          </w:p>
        </w:tc>
        <w:tc>
          <w:p>
            <w:r>
              <w:t xml:space="preserve">Encriptados (AES-256)</w:t>
            </w:r>
          </w:p>
        </w:tc>
        <w:tc>
          <w:p>
            <w:r>
              <w:t xml:space="preserve">Procedimento backup PRD</w:t>
            </w:r>
          </w:p>
        </w:tc>
      </w:tr>
    </w:tbl>
    <w:p/>
    <w:p>
      <w:pPr>
        <w:pStyle w:val="Heading2"/>
      </w:pPr>
      <w:r>
        <w:t xml:space="preserve">3. Gestão de chaves</w:t>
      </w:r>
    </w:p>
    <w:p>
      <w:pPr>
        <w:pStyle w:val="ListParagraph"/>
        <w:numPr>
          <w:ilvl w:val="0"/>
          <w:numId w:val="1"/>
        </w:numPr>
      </w:pPr>
      <w:r>
        <w:t xml:space="preserve">Rotação API keys UIF/identidade: anual ou após incidente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IdentityVerification:WebhookSecret</w:t>
      </w:r>
      <w:r>
        <w:t xml:space="preserve">: rotação com janela dual nos prestadores</w:t>
      </w:r>
    </w:p>
    <w:p>
      <w:pPr>
        <w:pStyle w:val="ListParagraph"/>
        <w:numPr>
          <w:ilvl w:val="0"/>
          <w:numId w:val="1"/>
        </w:numPr>
      </w:pPr>
      <w:r>
        <w:t xml:space="preserve">Certificados TLS: renovação automática (Let's Encrypt / cert manager)</w:t>
      </w:r>
    </w:p>
    <w:p>
      <w:pPr>
        <w:pStyle w:val="Heading2"/>
      </w:pPr>
      <w:r>
        <w:t xml:space="preserve">4. Algoritmos aprovados</w:t>
      </w:r>
    </w:p>
    <w:p>
      <w:pPr>
        <w:pStyle w:val="ListParagraph"/>
        <w:numPr>
          <w:ilvl w:val="0"/>
          <w:numId w:val="1"/>
        </w:numPr>
      </w:pPr>
      <w:r>
        <w:t xml:space="preserve">Simétrico: AES-256-GCM</w:t>
      </w:r>
    </w:p>
    <w:p>
      <w:pPr>
        <w:pStyle w:val="ListParagraph"/>
        <w:numPr>
          <w:ilvl w:val="0"/>
          <w:numId w:val="1"/>
        </w:numPr>
      </w:pPr>
      <w:r>
        <w:t xml:space="preserve">Hash: SHA-256 (HMAC webhook, integridade)</w:t>
      </w:r>
    </w:p>
    <w:p>
      <w:pPr>
        <w:pStyle w:val="ListParagraph"/>
        <w:numPr>
          <w:ilvl w:val="0"/>
          <w:numId w:val="1"/>
        </w:numPr>
      </w:pPr>
      <w:r>
        <w:t xml:space="preserve">Assimétrico: RSA-2048+ ou ECDSA P-256+ (TLS)</w:t>
      </w:r>
    </w:p>
    <w:p>
      <w:pPr>
        <w:pStyle w:val="Heading2"/>
      </w:pPr>
      <w:r>
        <w:t xml:space="preserve">5. Proibições</w:t>
      </w:r>
    </w:p>
    <w:p>
      <w:pPr>
        <w:pStyle w:val="ListParagraph"/>
        <w:numPr>
          <w:ilvl w:val="0"/>
          <w:numId w:val="1"/>
        </w:numPr>
      </w:pPr>
      <w:r>
        <w:t xml:space="preserve">Armazenar passwords em texto claro (excepto seed dev documentado)</w:t>
      </w:r>
    </w:p>
    <w:p>
      <w:pPr>
        <w:pStyle w:val="ListParagraph"/>
        <w:numPr>
          <w:ilvl w:val="0"/>
          <w:numId w:val="1"/>
        </w:numPr>
      </w:pPr>
      <w:r>
        <w:t xml:space="preserve">Algoritmos obsoletos (MD5, SHA-1 para segurança, SSLv3)</w:t>
      </w:r>
    </w:p>
    <w:p>
      <w:pPr>
        <w:pStyle w:val="Heading2"/>
      </w:pPr>
      <w:r>
        <w:t xml:space="preserve">6. Evidência</w:t>
      </w:r>
    </w:p>
    <w:p>
      <w:pPr>
        <w:pStyle w:val="ListParagraph"/>
        <w:numPr>
          <w:ilvl w:val="0"/>
          <w:numId w:val="1"/>
        </w:numPr>
      </w:pPr>
      <w:r>
        <w:t xml:space="preserve">Configuração: </w:t>
      </w:r>
      <w:r>
        <w:rPr>
          <w:rFonts w:ascii="Consolas" w:cs="Consolas" w:eastAsia="Consolas" w:hAnsi="Consolas"/>
          <w:sz w:val="20"/>
          <w:szCs w:val="20"/>
        </w:rPr>
        <w:t xml:space="preserve">Program.cs</w:t>
      </w:r>
      <w:r>
        <w:t xml:space="preserve"> (cookies Secure), </w:t>
      </w:r>
      <w:r>
        <w:rPr>
          <w:rFonts w:ascii="Consolas" w:cs="Consolas" w:eastAsia="Consolas" w:hAnsi="Consolas"/>
          <w:sz w:val="20"/>
          <w:szCs w:val="20"/>
        </w:rPr>
        <w:t xml:space="preserve">_Host</w:t>
      </w:r>
      <w:r>
        <w:t xml:space="preserve">, nginx TLS</w:t>
      </w:r>
    </w:p>
    <w:p>
      <w:pPr>
        <w:pStyle w:val="ListParagraph"/>
        <w:numPr>
          <w:ilvl w:val="0"/>
          <w:numId w:val="1"/>
        </w:numPr>
      </w:pPr>
      <w:r>
        <w:t xml:space="preserve">Pen test: validar TLS e headers — </w:t>
      </w:r>
      <w:r>
        <w:rPr>
          <w:rFonts w:ascii="Consolas" w:cs="Consolas" w:eastAsia="Consolas" w:hAnsi="Consolas"/>
          <w:sz w:val="20"/>
          <w:szCs w:val="20"/>
        </w:rPr>
        <w:t xml:space="preserve">docs/SECURITY_PEN_TEST_CHECKLIST.md</w:t>
      </w:r>
    </w:p>
    <w:p>
      <w:r>
        <w:br w:type="page"/>
      </w:r>
    </w:p>
    <w:p>
      <w:pPr>
        <w:pStyle w:val="Heading1"/>
      </w:pPr>
      <w:r>
        <w:t xml:space="preserve">Retenção de Dados (RGPD)</w:t>
      </w:r>
    </w:p>
    <w:p>
      <w:pPr>
        <w:pStyle w:val="Heading1"/>
      </w:pPr>
      <w:r>
        <w:t xml:space="preserve">Retenção de dados — RGPD (5–7 anos)</w:t>
      </w:r>
    </w:p>
    <w:p>
      <w:pPr>
        <w:pStyle w:val="Heading2"/>
      </w:pPr>
      <w:r>
        <w:t xml:space="preserve">Base legal</w:t>
      </w:r>
    </w:p>
    <w:p>
      <w:r>
        <w:t xml:space="preserve">Lei 83/2017 (AML) + RGPD Art. 6.º(1)(c) obrigação legal + política interna de retenção.</w:t>
      </w:r>
    </w:p>
    <w:p>
      <w:pPr>
        <w:pStyle w:val="Heading2"/>
      </w:pPr>
      <w:r>
        <w:t xml:space="preserve">Configuração técnica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"DataRetention": {
  "EnableHostedService": true,
  "RejectedCaseRetentionYears": 5,
  "ApprovedCaseRetentionYears": 7,
  "AnonymizeRejectedAfterRetention": true,
  "MarkApprovedCasesPastRetention": true
}</w:t>
      </w:r>
    </w:p>
    <w:p>
      <w:pPr>
        <w:pStyle w:val="Heading2"/>
      </w:pPr>
      <w:r>
        <w:t xml:space="preserve">Comportamento do job (</w:t>
      </w:r>
      <w:r>
        <w:rPr>
          <w:rFonts w:ascii="Consolas" w:cs="Consolas" w:eastAsia="Consolas" w:hAnsi="Consolas"/>
          <w:sz w:val="20"/>
          <w:szCs w:val="20"/>
        </w:rPr>
        <w:t xml:space="preserve">DataRetentionHostedService</w:t>
      </w:r>
      <w: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Tipo caso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Após período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Acção</w:t>
            </w:r>
          </w:p>
        </w:tc>
      </w:tr>
      <w:tr>
        <w:tc>
          <w:p>
            <w:r>
              <w:t xml:space="preserve">Rejeitado</w:t>
            </w:r>
          </w:p>
        </w:tc>
        <w:tc>
          <w:p>
            <w:r>
              <w:t xml:space="preserve">&gt; 5 anos desde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CompletedAt</w:t>
            </w:r>
          </w:p>
        </w:tc>
        <w:tc>
          <w:p>
            <w:r>
              <w:t xml:space="preserve">Anónimização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CompanyName=ANON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Nif=000000000</w:t>
            </w:r>
            <w:r>
              <w:t xml:space="preserve">)</w:t>
            </w:r>
          </w:p>
        </w:tc>
      </w:tr>
      <w:tr>
        <w:tc>
          <w:p>
            <w:r>
              <w:t xml:space="preserve">Aprovado</w:t>
            </w:r>
          </w:p>
        </w:tc>
        <w:tc>
          <w:p>
            <w:r>
              <w:t xml:space="preserve">&gt; 7 anos</w:t>
            </w:r>
          </w:p>
        </w:tc>
        <w:tc>
          <w:p>
            <w:r>
              <w:t xml:space="preserve">Audit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RetentionReviewDue</w:t>
            </w:r>
            <w:r>
              <w:t xml:space="preserve"> — revisão arquivo legal (sem apagar automaticamente)</w:t>
            </w:r>
          </w:p>
        </w:tc>
      </w:tr>
    </w:tbl>
    <w:p/>
    <w:p>
      <w:pPr>
        <w:pStyle w:val="Heading2"/>
      </w:pPr>
      <w:r>
        <w:t xml:space="preserve">Activar em produção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DataRetention__EnableHostedService=true</w:t>
      </w:r>
    </w:p>
    <w:p>
      <w:pPr>
        <w:pStyle w:val="ListParagraph"/>
        <w:numPr>
          <w:ilvl w:val="0"/>
          <w:numId w:val="1"/>
        </w:numPr>
      </w:pPr>
      <w:r>
        <w:t xml:space="preserve">Confirmar logs diários ~02:00 UTC</w:t>
      </w:r>
    </w:p>
    <w:p>
      <w:pPr>
        <w:pStyle w:val="ListParagraph"/>
        <w:numPr>
          <w:ilvl w:val="0"/>
          <w:numId w:val="1"/>
        </w:numPr>
      </w:pPr>
      <w:r>
        <w:t xml:space="preserve">Validar caso teste rejeitado antigo (homologação)</w:t>
      </w:r>
    </w:p>
    <w:p>
      <w:pPr>
        <w:pStyle w:val="Heading2"/>
      </w:pPr>
      <w:r>
        <w:t xml:space="preserve">Excepções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Legal hold:</w:t>
      </w:r>
      <w:r>
        <w:t xml:space="preserve"> suspender anónimização via flag processo compliance (procedimento manual BD — documentar ticket)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SAR submetido:</w:t>
      </w:r>
      <w:r>
        <w:t xml:space="preserve"> retenção alinhada com obrigação UIF</w:t>
      </w:r>
    </w:p>
    <w:p>
      <w:pPr>
        <w:pStyle w:val="Heading2"/>
      </w:pPr>
      <w:r>
        <w:t xml:space="preserve">Evidência homologação</w:t>
      </w:r>
    </w:p>
    <w:p>
      <w:pPr>
        <w:pStyle w:val="ListParagraph"/>
        <w:numPr>
          <w:ilvl w:val="0"/>
          <w:numId w:val="1"/>
        </w:numPr>
      </w:pPr>
      <w:r>
        <w:t xml:space="preserve">[ ] Config prod activa</w:t>
      </w:r>
    </w:p>
    <w:p>
      <w:pPr>
        <w:pStyle w:val="ListParagraph"/>
        <w:numPr>
          <w:ilvl w:val="0"/>
          <w:numId w:val="1"/>
        </w:numPr>
      </w:pPr>
      <w:r>
        <w:t xml:space="preserve">[ ] Log job com contagens</w:t>
      </w:r>
    </w:p>
    <w:p>
      <w:pPr>
        <w:pStyle w:val="ListParagraph"/>
        <w:numPr>
          <w:ilvl w:val="0"/>
          <w:numId w:val="1"/>
        </w:numPr>
      </w:pPr>
      <w:r>
        <w:t xml:space="preserve">[ ] Entrada audit </w:t>
      </w:r>
      <w:r>
        <w:rPr>
          <w:rFonts w:ascii="Consolas" w:cs="Consolas" w:eastAsia="Consolas" w:hAnsi="Consolas"/>
          <w:sz w:val="20"/>
          <w:szCs w:val="20"/>
        </w:rPr>
        <w:t xml:space="preserve">RetentionReviewDue</w:t>
      </w:r>
      <w:r>
        <w:t xml:space="preserve"> em caso simulado</w:t>
      </w:r>
    </w:p>
    <w:p>
      <w:r>
        <w:rPr>
          <w:b/>
          <w:bCs/>
        </w:rPr>
        <w:t xml:space="preserve">Estado matriz 6.3:</w:t>
      </w:r>
      <w:r>
        <w:t xml:space="preserve"> 🟡 → ✅ após activação prod + evidência.</w:t>
      </w:r>
    </w:p>
    <w:p>
      <w:r>
        <w:br w:type="page"/>
      </w:r>
    </w:p>
    <w:p>
      <w:pPr>
        <w:pStyle w:val="Heading1"/>
      </w:pPr>
      <w:r>
        <w:t xml:space="preserve">Liveness ISO/IEC 30107-3</w:t>
      </w:r>
    </w:p>
    <w:p>
      <w:pPr>
        <w:pStyle w:val="Heading1"/>
      </w:pPr>
      <w:r>
        <w:t xml:space="preserve">Prova de vida (Liveness) — ISO/IEC 30107-3</w:t>
      </w:r>
    </w:p>
    <w:p>
      <w:pPr>
        <w:pStyle w:val="Heading2"/>
      </w:pPr>
      <w:r>
        <w:t xml:space="preserve">Requisito regulatório</w:t>
      </w:r>
    </w:p>
    <w:p>
      <w:r>
        <w:t xml:space="preserve">Aviso BdP 1/2022 — verificação remota com detecção de ataque de apresentação (PAD).</w:t>
      </w:r>
    </w:p>
    <w:p>
      <w:pPr>
        <w:pStyle w:val="Heading2"/>
      </w:pPr>
      <w:r>
        <w:t xml:space="preserve">Implementação na plataforma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p>
            <w:r>
              <w:t xml:space="preserve">Prestador</w:t>
            </w:r>
          </w:p>
        </w:tc>
        <w:tc>
          <w:p>
            <w:r>
              <w:t xml:space="preserve">DigitalSign / API configurada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IdentityVerification:BaseUrl</w:t>
            </w:r>
          </w:p>
        </w:tc>
      </w:tr>
      <w:tr>
        <w:tc>
          <w:p>
            <w:r>
              <w:t xml:space="preserve">Métodos</w:t>
            </w:r>
          </w:p>
        </w:tc>
        <w:tc>
          <w:p>
            <w:r>
              <w:t xml:space="preserve">Videoconferência, CMD, presencial, assinatura qualificada</w:t>
            </w:r>
          </w:p>
        </w:tc>
      </w:tr>
      <w:tr>
        <w:tc>
          <w:p>
            <w:r>
              <w:t xml:space="preserve">Campo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LivenessScore</w:t>
            </w:r>
          </w:p>
        </w:tc>
        <w:tc>
          <w:p>
            <w:r>
              <w:t xml:space="preserve">Persistido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case_parties</w:t>
            </w:r>
            <w:r>
              <w:t xml:space="preserve"> após webhook/polling</w:t>
            </w:r>
          </w:p>
        </w:tc>
      </w:tr>
      <w:tr>
        <w:tc>
          <w:p>
            <w:r>
              <w:t xml:space="preserve">Audit</w:t>
            </w:r>
          </w:p>
        </w:tc>
        <w:tc>
          <w:p>
            <w:r>
              <w:t xml:space="preserve">Entrada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IdentityVerified</w:t>
            </w:r>
            <w:r>
              <w:t xml:space="preserve">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liveness:{score}</w:t>
            </w:r>
          </w:p>
        </w:tc>
      </w:tr>
    </w:tbl>
    <w:p/>
    <w:p>
      <w:pPr>
        <w:pStyle w:val="Heading2"/>
      </w:pPr>
      <w:r>
        <w:t xml:space="preserve">Conformidade ISO/IEC 30107-3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Responsável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c>
          <w:p>
            <w:r>
              <w:t xml:space="preserve">Certificação do algoritmo PAD</w:t>
            </w:r>
          </w:p>
        </w:tc>
        <w:tc>
          <w:p>
            <w:r>
              <w:rPr>
                <w:b/>
                <w:bCs/>
              </w:rPr>
              <w:t xml:space="preserve">Prestador de identidade</w:t>
            </w:r>
          </w:p>
        </w:tc>
        <w:tc>
          <w:p>
            <w:r>
              <w:t xml:space="preserve">Certificado ou relatório de laboratório acreditado</w:t>
            </w:r>
          </w:p>
        </w:tc>
      </w:tr>
      <w:tr>
        <w:tc>
          <w:p>
            <w:r>
              <w:t xml:space="preserve">Integração técnica</w:t>
            </w:r>
          </w:p>
        </w:tc>
        <w:tc>
          <w:p>
            <w:r>
              <w:t xml:space="preserve">Plataforma KYC</w:t>
            </w:r>
          </w:p>
        </w:tc>
        <w:tc>
          <w:p>
            <w:r>
              <w:t xml:space="preserve">Webhook + polling + armazenamento score</w:t>
            </w:r>
          </w:p>
        </w:tc>
      </w:tr>
      <w:tr>
        <w:tc>
          <w:p>
            <w:r>
              <w:t xml:space="preserve">Operação</w:t>
            </w:r>
          </w:p>
        </w:tc>
        <w:tc>
          <w:p>
            <w:r>
              <w:t xml:space="preserve">Instituição</w:t>
            </w:r>
          </w:p>
        </w:tc>
        <w:tc>
          <w:p>
            <w:r>
              <w:t xml:space="preserve">Escolha método adequado ao risco (EDD → não simplificado)</w:t>
            </w:r>
          </w:p>
        </w:tc>
      </w:tr>
    </w:tbl>
    <w:p/>
    <w:p>
      <w:r>
        <w:rPr>
          <w:b/>
          <w:bCs/>
        </w:rPr>
        <w:t xml:space="preserve">Estado:</w:t>
      </w:r>
      <w:r>
        <w:t xml:space="preserve"> 🟡 Parcial — integração técnica ✅; certificado prestador 🌐 pendente no dossier.</w:t>
      </w:r>
    </w:p>
    <w:p>
      <w:pPr>
        <w:pStyle w:val="Heading2"/>
      </w:pPr>
      <w:r>
        <w:t xml:space="preserve">Checklist homologação</w:t>
      </w:r>
    </w:p>
    <w:p>
      <w:pPr>
        <w:pStyle w:val="ListParagraph"/>
        <w:numPr>
          <w:ilvl w:val="0"/>
          <w:numId w:val="1"/>
        </w:numPr>
      </w:pPr>
      <w:r>
        <w:t xml:space="preserve">[ ] Contrato prestador referencia ISO 30107-3 ou equivalente</w:t>
      </w:r>
    </w:p>
    <w:p>
      <w:pPr>
        <w:pStyle w:val="ListParagraph"/>
        <w:numPr>
          <w:ilvl w:val="0"/>
          <w:numId w:val="1"/>
        </w:numPr>
      </w:pPr>
      <w:r>
        <w:t xml:space="preserve">[ ] Teste videoconferência com liveness score &gt; limiar institucional</w:t>
      </w:r>
    </w:p>
    <w:p>
      <w:pPr>
        <w:pStyle w:val="ListParagraph"/>
        <w:numPr>
          <w:ilvl w:val="0"/>
          <w:numId w:val="1"/>
        </w:numPr>
      </w:pPr>
      <w:r>
        <w:t xml:space="preserve">[ ] Print audit trail com liveness registado</w:t>
      </w:r>
    </w:p>
    <w:p>
      <w:pPr>
        <w:pStyle w:val="ListParagraph"/>
        <w:numPr>
          <w:ilvl w:val="0"/>
          <w:numId w:val="1"/>
        </w:numPr>
      </w:pPr>
      <w:r>
        <w:t xml:space="preserve">[ ] Anexo certificado PDF em </w:t>
      </w:r>
      <w:r>
        <w:rPr>
          <w:rFonts w:ascii="Consolas" w:cs="Consolas" w:eastAsia="Consolas" w:hAnsi="Consolas"/>
          <w:sz w:val="20"/>
          <w:szCs w:val="20"/>
        </w:rPr>
        <w:t xml:space="preserve">docs/dossier/06-identidade/</w:t>
      </w:r>
    </w:p>
    <w:p>
      <w:r>
        <w:br w:type="page"/>
      </w:r>
    </w:p>
    <w:p>
      <w:pPr>
        <w:pStyle w:val="Heading1"/>
      </w:pPr>
      <w:r>
        <w:t xml:space="preserve">Matriz de Riscos TI</w:t>
      </w:r>
    </w:p>
    <w:p>
      <w:pPr>
        <w:pStyle w:val="Heading1"/>
      </w:pPr>
      <w:r>
        <w:t xml:space="preserve">Matriz de avaliação de riscos de TI — KYC AI Platform</w:t>
      </w:r>
    </w:p>
    <w:p>
      <w:pPr>
        <w:spacing w:after="80" w:before="80"/>
        <w:ind w:left="720"/>
      </w:pPr>
      <w:r>
        <w:rPr>
          <w:b/>
          <w:bCs/>
        </w:rPr>
        <w:t xml:space="preserve">Versão:</w:t>
      </w:r>
      <w:r>
        <w:t xml:space="preserve"> 1.0 · </w:t>
      </w:r>
      <w:r>
        <w:rPr>
          <w:b/>
          <w:bCs/>
        </w:rPr>
        <w:t xml:space="preserve">Revisão:</w:t>
      </w:r>
      <w:r>
        <w:t xml:space="preserve"> trimestral (próxima: _[data]_)</w:t>
      </w:r>
    </w:p>
    <w:p>
      <w:r>
        <w:t xml:space="preserve">Escala: Probabilidade (1–5) × Impacto (1–5) = Exposição (1–25)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Exp.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Controlos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p>
            <w:r>
              <w:t xml:space="preserve">R01</w:t>
            </w:r>
          </w:p>
        </w:tc>
        <w:tc>
          <w:p>
            <w:r>
              <w:t xml:space="preserve">Falha BD sem backup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PRD + backups diários</w:t>
            </w:r>
          </w:p>
        </w:tc>
        <w:tc>
          <w:p>
            <w:r>
              <w:t xml:space="preserve">TI</w:t>
            </w:r>
          </w:p>
        </w:tc>
        <w:tc>
          <w:p>
            <w:r>
              <w:t xml:space="preserve">🟡</w:t>
            </w:r>
          </w:p>
        </w:tc>
      </w:tr>
      <w:tr>
        <w:tc>
          <w:p>
            <w:r>
              <w:t xml:space="preserve">R02</w:t>
            </w:r>
          </w:p>
        </w:tc>
        <w:tc>
          <w:p>
            <w:r>
              <w:t xml:space="preserve">Breach dados pessoais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TLS, RBAC, pen test, DPO</w:t>
            </w:r>
          </w:p>
        </w:tc>
        <w:tc>
          <w:p>
            <w:r>
              <w:t xml:space="preserve">CISO</w:t>
            </w:r>
          </w:p>
        </w:tc>
        <w:tc>
          <w:p>
            <w:r>
              <w:t xml:space="preserve">🟡</w:t>
            </w:r>
          </w:p>
        </w:tc>
      </w:tr>
      <w:tr>
        <w:tc>
          <w:p>
            <w:r>
              <w:t xml:space="preserve">R03</w:t>
            </w:r>
          </w:p>
        </w:tc>
        <w:tc>
          <w:p>
            <w:r>
              <w:t xml:space="preserve">Falso negativo sanções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Listas OFAC/EU, confirmação analista, métricas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R04</w:t>
            </w:r>
          </w:p>
        </w:tc>
        <w:tc>
          <w:p>
            <w:r>
              <w:t xml:space="preserve">Falso positivo excessivo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9</w:t>
            </w:r>
          </w:p>
        </w:tc>
        <w:tc>
          <w:p>
            <w:r>
              <w:t xml:space="preserve">Confirmação manual, métricas FP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R05</w:t>
            </w:r>
          </w:p>
        </w:tc>
        <w:tc>
          <w:p>
            <w:r>
              <w:t xml:space="preserve">API UIF indisponível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Fila SAR + registo manual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R06</w:t>
            </w:r>
          </w:p>
        </w:tc>
        <w:tc>
          <w:p>
            <w:r>
              <w:t xml:space="preserve">Prestador identidade down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Presencial + polling</w:t>
            </w:r>
          </w:p>
        </w:tc>
        <w:tc>
          <w:p>
            <w:r>
              <w:t xml:space="preserve">Ops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R07</w:t>
            </w:r>
          </w:p>
        </w:tc>
        <w:tc>
          <w:p>
            <w:r>
              <w:t xml:space="preserve">LLM alucinação relatório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Revisão humana, explainability Art.22</w:t>
            </w:r>
          </w:p>
        </w:tc>
        <w:tc>
          <w:p>
            <w:r>
              <w:t xml:space="preserve">Compliance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R08</w:t>
            </w:r>
          </w:p>
        </w:tc>
        <w:tc>
          <w:p>
            <w:r>
              <w:t xml:space="preserve">Insider abuse admin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Audit imutável, roles, MFA</w:t>
            </w:r>
          </w:p>
        </w:tc>
        <w:tc>
          <w:p>
            <w:r>
              <w:t xml:space="preserve">CISO</w:t>
            </w:r>
          </w:p>
        </w:tc>
        <w:tc>
          <w:p>
            <w:r>
              <w:t xml:space="preserve">✅</w:t>
            </w:r>
          </w:p>
        </w:tc>
      </w:tr>
      <w:tr>
        <w:tc>
          <w:p>
            <w:r>
              <w:t xml:space="preserve">R09</w:t>
            </w:r>
          </w:p>
        </w:tc>
        <w:tc>
          <w:p>
            <w:r>
              <w:t xml:space="preserve">Ransomware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Backups offline, PRD</w:t>
            </w:r>
          </w:p>
        </w:tc>
        <w:tc>
          <w:p>
            <w:r>
              <w:t xml:space="preserve">TI</w:t>
            </w:r>
          </w:p>
        </w:tc>
        <w:tc>
          <w:p>
            <w:r>
              <w:t xml:space="preserve">🟡</w:t>
            </w:r>
          </w:p>
        </w:tc>
      </w:tr>
      <w:tr>
        <w:tc>
          <w:p>
            <w:r>
              <w:t xml:space="preserve">R10</w:t>
            </w:r>
          </w:p>
        </w:tc>
        <w:tc>
          <w:p>
            <w:r>
              <w:t xml:space="preserve">Não conformidade RGPD retenção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DataRetention job 5–7a</w:t>
            </w:r>
          </w:p>
        </w:tc>
        <w:tc>
          <w:p>
            <w:r>
              <w:t xml:space="preserve">DPO</w:t>
            </w:r>
          </w:p>
        </w:tc>
        <w:tc>
          <w:p>
            <w:r>
              <w:t xml:space="preserve">🟡</w:t>
            </w:r>
          </w:p>
        </w:tc>
      </w:tr>
    </w:tbl>
    <w:p/>
    <w:p>
      <w:pPr>
        <w:pStyle w:val="Heading2"/>
      </w:pPr>
      <w:r>
        <w:t xml:space="preserve">Cláusula auditoria BdP (4.3)</w:t>
      </w:r>
    </w:p>
    <w:p>
      <w:r>
        <w:t xml:space="preserve">Modelo para contratos de subcontratação e SLA:</w:t>
      </w:r>
    </w:p>
    <w:p>
      <w:pPr>
        <w:spacing w:after="80" w:before="80"/>
        <w:ind w:left="720"/>
      </w:pPr>
      <w:r>
        <w:t xml:space="preserve">A instituição e o Banco de Portugal, nos termos da Lei n.º 83/2017 e demais diploma aplicável, reservam o direito de auditar, diretamente ou através de terceiros mandatados, os sistemas de informação e os registos de tratamento de dados relacionados com o serviço KYC, com pré-aviso razoável de 30 dias úteis, sem prejuízo de auditorias de emergência em caso de incidente grave.</w:t>
      </w:r>
    </w:p>
    <w:p>
      <w:r>
        <w:rPr>
          <w:b/>
          <w:bCs/>
        </w:rPr>
        <w:t xml:space="preserve">Estado:</w:t>
      </w:r>
      <w:r>
        <w:t xml:space="preserve"> ✅ Texto disponível para inclusão em minutas contratuais.</w:t>
      </w:r>
    </w:p>
    <w:p>
      <w:r>
        <w:br w:type="page"/>
      </w:r>
    </w:p>
    <w:p>
      <w:pPr>
        <w:pStyle w:val="Heading1"/>
      </w:pPr>
      <w:r>
        <w:t xml:space="preserve">RTO/RPO e Métricas</w:t>
      </w:r>
    </w:p>
    <w:p>
      <w:pPr>
        <w:pStyle w:val="Heading1"/>
      </w:pPr>
      <w:r>
        <w:t xml:space="preserve">RTO e RPO — Métricas e registo de simulações</w:t>
      </w:r>
    </w:p>
    <w:p>
      <w:pPr>
        <w:pStyle w:val="Heading2"/>
      </w:pPr>
      <w:r>
        <w:t xml:space="preserve">Objectivos acordados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Serviço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RTO (horas)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RPO (minutos)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Método de medição</w:t>
            </w:r>
          </w:p>
        </w:tc>
      </w:tr>
      <w:tr>
        <w:tc>
          <w:p>
            <w:r>
              <w:t xml:space="preserve">S1</w:t>
            </w:r>
          </w:p>
        </w:tc>
        <w:tc>
          <w:p>
            <w:r>
              <w:t xml:space="preserve">KYC.Web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Tempo desde incidente até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  <w:r>
              <w:t xml:space="preserve"> OK</w:t>
            </w:r>
          </w:p>
        </w:tc>
      </w:tr>
      <w:tr>
        <w:tc>
          <w:p>
            <w:r>
              <w:t xml:space="preserve">S2</w:t>
            </w:r>
          </w:p>
        </w:tc>
        <w:tc>
          <w:p>
            <w:r>
              <w:t xml:space="preserve">PostgreSQL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Tempo restore + integridade audit trail</w:t>
            </w:r>
          </w:p>
        </w:tc>
      </w:tr>
      <w:tr>
        <w:tc>
          <w:p>
            <w:r>
              <w:t xml:space="preserve">S3</w:t>
            </w:r>
          </w:p>
        </w:tc>
        <w:tc>
          <w:p>
            <w:r>
              <w:t xml:space="preserve">Documentos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1440</w:t>
            </w:r>
          </w:p>
        </w:tc>
        <w:tc>
          <w:p>
            <w:r>
              <w:t xml:space="preserve">Restore volume + checksum amostra</w:t>
            </w:r>
          </w:p>
        </w:tc>
      </w:tr>
      <w:tr>
        <w:tc>
          <w:p>
            <w:r>
              <w:t xml:space="preserve">S4</w:t>
            </w:r>
          </w:p>
        </w:tc>
        <w:tc>
          <w:p>
            <w:r>
              <w:t xml:space="preserve">Ollama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Tempo até scoring disponível</w:t>
            </w:r>
          </w:p>
        </w:tc>
      </w:tr>
    </w:tbl>
    <w:p/>
    <w:p>
      <w:pPr>
        <w:pStyle w:val="Heading2"/>
      </w:pPr>
      <w:r>
        <w:t xml:space="preserve">Registo de simulações (preencher em homologação/prod)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Cenário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RTO medido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RPO medido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Objectivo cumprido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Evidência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Restore BD backup D-1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 Sim ☐ Não</w:t>
            </w:r>
          </w:p>
        </w:tc>
        <w:tc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dossier/09-e2e/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Failover app (redeploy)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 Sim ☐ Não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Perda Ollama — modo degradado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 Sim ☐ Não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t xml:space="preserve">Estado actual</w:t>
      </w:r>
    </w:p>
    <w:p>
      <w:r>
        <w:rPr>
          <w:b/>
          <w:bCs/>
        </w:rPr>
        <w:t xml:space="preserve">🔴 Pendente</w:t>
      </w:r>
      <w:r>
        <w:t xml:space="preserve"> — objectivos definidos; simulações não executadas. Após 1.ª simulação, actualizar </w:t>
      </w:r>
      <w:r>
        <w:rPr>
          <w:u w:val="single"/>
        </w:rPr>
        <w:t xml:space="preserve">MATRIZ_REQUISITOS_INSTITUCIONAIS.md</w:t>
      </w:r>
      <w:r>
        <w:t xml:space="preserve"> §3.3 para 🟡/✅.</w:t>
      </w:r>
    </w:p>
    <w:p>
      <w:r>
        <w:br w:type="page"/>
      </w:r>
    </w:p>
    <w:p>
      <w:pPr>
        <w:pStyle w:val="Heading1"/>
      </w:pPr>
      <w:r>
        <w:t xml:space="preserve">Checklist Pen Test</w:t>
      </w:r>
    </w:p>
    <w:p>
      <w:pPr>
        <w:pStyle w:val="Heading1"/>
      </w:pPr>
      <w:r>
        <w:t xml:space="preserve">Checklist — Pen test básico (homologação KYC)</w:t>
      </w:r>
    </w:p>
    <w:p>
      <w:pPr>
        <w:spacing w:after="80" w:before="80"/>
        <w:ind w:left="720"/>
      </w:pPr>
      <w:r>
        <w:t xml:space="preserve">Ferramenta sugerida: OWASP ZAP baseline scan ou revisão manual equivalente.   Ambiente: </w:t>
      </w:r>
      <w:r>
        <w:rPr>
          <w:b/>
          <w:bCs/>
        </w:rPr>
        <w:t xml:space="preserve">homologação</w:t>
      </w:r>
      <w:r>
        <w:t xml:space="preserve"> (nunca produção sem autorização).   </w:t>
      </w:r>
      <w:r>
        <w:rPr>
          <w:b/>
          <w:bCs/>
        </w:rPr>
        <w:t xml:space="preserve">Relatório formal:</w:t>
      </w:r>
      <w:r>
        <w:t xml:space="preserve"> preencher </w:t>
      </w:r>
      <w:r>
        <w:rPr>
          <w:u w:val="single"/>
        </w:rPr>
        <w:t xml:space="preserve">governanca/RELATORIO_PEN_TEST_MODELO.md</w:t>
      </w:r>
      <w:r>
        <w:t xml:space="preserve"> e arquivar em </w:t>
      </w:r>
      <w:r>
        <w:rPr>
          <w:rFonts w:ascii="Consolas" w:cs="Consolas" w:eastAsia="Consolas" w:hAnsi="Consolas"/>
          <w:sz w:val="20"/>
          <w:szCs w:val="20"/>
        </w:rPr>
        <w:t xml:space="preserve">docs/dossier/10-seguranca/</w:t>
      </w:r>
      <w:r>
        <w:t xml:space="preserve">.</w:t>
      </w:r>
    </w:p>
    <w:p>
      <w:pPr>
        <w:pStyle w:val="Heading2"/>
      </w:pPr>
      <w:r>
        <w:t xml:space="preserve">1. Autenticação e autorização</w:t>
      </w:r>
    </w:p>
    <w:p>
      <w:pPr>
        <w:pStyle w:val="ListParagraph"/>
        <w:numPr>
          <w:ilvl w:val="0"/>
          <w:numId w:val="1"/>
        </w:numPr>
      </w:pPr>
      <w:r>
        <w:t xml:space="preserve">[ ] Rotas </w:t>
      </w:r>
      <w:r>
        <w:rPr>
          <w:rFonts w:ascii="Consolas" w:cs="Consolas" w:eastAsia="Consolas" w:hAnsi="Consolas"/>
          <w:sz w:val="20"/>
          <w:szCs w:val="20"/>
        </w:rPr>
        <w:t xml:space="preserve">/admin/*</w:t>
      </w:r>
      <w:r>
        <w:t xml:space="preserve"> rejeitam utilizador sem role </w:t>
      </w:r>
      <w:r>
        <w:rPr>
          <w:rFonts w:ascii="Consolas" w:cs="Consolas" w:eastAsia="Consolas" w:hAnsi="Consolas"/>
          <w:sz w:val="20"/>
          <w:szCs w:val="20"/>
        </w:rPr>
        <w:t xml:space="preserve">KYC.Admin</w:t>
      </w:r>
    </w:p>
    <w:p>
      <w:pPr>
        <w:pStyle w:val="ListParagraph"/>
        <w:numPr>
          <w:ilvl w:val="0"/>
          <w:numId w:val="1"/>
        </w:numPr>
      </w:pPr>
      <w:r>
        <w:t xml:space="preserve">[ ] APIs </w:t>
      </w:r>
      <w:r>
        <w:rPr>
          <w:rFonts w:ascii="Consolas" w:cs="Consolas" w:eastAsia="Consolas" w:hAnsi="Consolas"/>
          <w:sz w:val="20"/>
          <w:szCs w:val="20"/>
        </w:rPr>
        <w:t xml:space="preserve">/api/admin/aml-reports/*</w:t>
      </w:r>
      <w:r>
        <w:t xml:space="preserve"> exigem </w:t>
      </w:r>
      <w:r>
        <w:rPr>
          <w:rFonts w:ascii="Consolas" w:cs="Consolas" w:eastAsia="Consolas" w:hAnsi="Consolas"/>
          <w:sz w:val="20"/>
          <w:szCs w:val="20"/>
        </w:rPr>
        <w:t xml:space="preserve">KYC.Admin</w:t>
      </w:r>
    </w:p>
    <w:p>
      <w:pPr>
        <w:pStyle w:val="ListParagraph"/>
        <w:numPr>
          <w:ilvl w:val="0"/>
          <w:numId w:val="1"/>
        </w:numPr>
      </w:pPr>
      <w:r>
        <w:t xml:space="preserve">[ ] Webhook identidade (</w:t>
      </w:r>
      <w:r>
        <w:rPr>
          <w:rFonts w:ascii="Consolas" w:cs="Consolas" w:eastAsia="Consolas" w:hAnsi="Consolas"/>
          <w:sz w:val="20"/>
          <w:szCs w:val="20"/>
        </w:rPr>
        <w:t xml:space="preserve">POST /api/identity/webhook</w:t>
      </w:r>
      <w:r>
        <w:t xml:space="preserve">) exige HMAC quando </w:t>
      </w:r>
      <w:r>
        <w:rPr>
          <w:rFonts w:ascii="Consolas" w:cs="Consolas" w:eastAsia="Consolas" w:hAnsi="Consolas"/>
          <w:sz w:val="20"/>
          <w:szCs w:val="20"/>
        </w:rPr>
        <w:t xml:space="preserve">IdentityVerification:WebhookSecret</w:t>
      </w:r>
      <w:r>
        <w:t xml:space="preserve"> definido</w:t>
      </w:r>
    </w:p>
    <w:p>
      <w:pPr>
        <w:pStyle w:val="ListParagraph"/>
        <w:numPr>
          <w:ilvl w:val="0"/>
          <w:numId w:val="1"/>
        </w:numPr>
      </w:pPr>
      <w:r>
        <w:t xml:space="preserve">[ ] Tentativa de acesso anónimo a caso alheio → 401/403</w:t>
      </w:r>
    </w:p>
    <w:p>
      <w:pPr>
        <w:pStyle w:val="Heading2"/>
      </w:pPr>
      <w:r>
        <w:t xml:space="preserve">2. Input e injecção</w:t>
      </w:r>
    </w:p>
    <w:p>
      <w:pPr>
        <w:pStyle w:val="ListParagraph"/>
        <w:numPr>
          <w:ilvl w:val="0"/>
          <w:numId w:val="1"/>
        </w:numPr>
      </w:pPr>
      <w:r>
        <w:t xml:space="preserve">[ ] SAR narrativa: rejeitar payload &amp;lt; 200 chars (server-side)</w:t>
      </w:r>
    </w:p>
    <w:p>
      <w:pPr>
        <w:pStyle w:val="ListParagraph"/>
        <w:numPr>
          <w:ilvl w:val="0"/>
          <w:numId w:val="1"/>
        </w:numPr>
      </w:pPr>
      <w:r>
        <w:t xml:space="preserve">[ ] Upload documentos: tipos MIME e tamanho máximo respeitados</w:t>
      </w:r>
    </w:p>
    <w:p>
      <w:pPr>
        <w:pStyle w:val="ListParagraph"/>
        <w:numPr>
          <w:ilvl w:val="0"/>
          <w:numId w:val="1"/>
        </w:numPr>
      </w:pPr>
      <w:r>
        <w:t xml:space="preserve">[ ] NIF inválido no </w:t>
      </w:r>
      <w:r>
        <w:rPr>
          <w:rFonts w:ascii="Consolas" w:cs="Consolas" w:eastAsia="Consolas" w:hAnsi="Consolas"/>
          <w:sz w:val="20"/>
          <w:szCs w:val="20"/>
        </w:rPr>
        <w:t xml:space="preserve">NewCase</w:t>
      </w:r>
      <w:r>
        <w:t xml:space="preserve"> → erro de validação (sem 500)</w:t>
      </w:r>
    </w:p>
    <w:p>
      <w:pPr>
        <w:pStyle w:val="Heading2"/>
      </w:pPr>
      <w:r>
        <w:t xml:space="preserve">3. Dados sensíveis</w:t>
      </w:r>
    </w:p>
    <w:p>
      <w:pPr>
        <w:pStyle w:val="ListParagraph"/>
        <w:numPr>
          <w:ilvl w:val="0"/>
          <w:numId w:val="1"/>
        </w:numPr>
      </w:pPr>
      <w:r>
        <w:t xml:space="preserve">[ ] Secrets apenas em env / Key Vault (não em </w:t>
      </w:r>
      <w:r>
        <w:rPr>
          <w:rFonts w:ascii="Consolas" w:cs="Consolas" w:eastAsia="Consolas" w:hAnsi="Consolas"/>
          <w:sz w:val="20"/>
          <w:szCs w:val="20"/>
        </w:rPr>
        <w:t xml:space="preserve">appsettings</w:t>
      </w:r>
      <w:r>
        <w:t xml:space="preserve"> commitado)</w:t>
      </w:r>
    </w:p>
    <w:p>
      <w:pPr>
        <w:pStyle w:val="ListParagraph"/>
        <w:numPr>
          <w:ilvl w:val="0"/>
          <w:numId w:val="1"/>
        </w:numPr>
      </w:pPr>
      <w:r>
        <w:t xml:space="preserve">[ ] Logs não contêm API keys, tokens UIF, ou PII completa</w:t>
      </w:r>
    </w:p>
    <w:p>
      <w:pPr>
        <w:pStyle w:val="ListParagraph"/>
        <w:numPr>
          <w:ilvl w:val="0"/>
          <w:numId w:val="1"/>
        </w:numPr>
      </w:pPr>
      <w:r>
        <w:t xml:space="preserve">[ ] Relatório PDF/HTML não expõe dados de outros casos (IDOR no </w:t>
      </w:r>
      <w:r>
        <w:rPr>
          <w:rFonts w:ascii="Consolas" w:cs="Consolas" w:eastAsia="Consolas" w:hAnsi="Consolas"/>
          <w:sz w:val="20"/>
          <w:szCs w:val="20"/>
        </w:rPr>
        <w:t xml:space="preserve">CaseId</w:t>
      </w:r>
      <w:r>
        <w:t xml:space="preserve">)</w:t>
      </w:r>
    </w:p>
    <w:p>
      <w:pPr>
        <w:pStyle w:val="Heading2"/>
      </w:pPr>
      <w:r>
        <w:t xml:space="preserve">4. Transporte e headers</w:t>
      </w:r>
    </w:p>
    <w:p>
      <w:pPr>
        <w:pStyle w:val="ListParagraph"/>
        <w:numPr>
          <w:ilvl w:val="0"/>
          <w:numId w:val="1"/>
        </w:numPr>
      </w:pPr>
      <w:r>
        <w:t xml:space="preserve">[ ] HTTPS forçado em homologação/prod</w:t>
      </w:r>
    </w:p>
    <w:p>
      <w:pPr>
        <w:pStyle w:val="ListParagraph"/>
        <w:numPr>
          <w:ilvl w:val="0"/>
          <w:numId w:val="1"/>
        </w:numPr>
      </w:pPr>
      <w:r>
        <w:t xml:space="preserve">[ ] Cookies de sessão: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Secure</w:t>
      </w:r>
      <w:r>
        <w:t xml:space="preserve"> (se aplicável)</w:t>
      </w:r>
    </w:p>
    <w:p>
      <w:pPr>
        <w:pStyle w:val="ListParagraph"/>
        <w:numPr>
          <w:ilvl w:val="0"/>
          <w:numId w:val="1"/>
        </w:numPr>
      </w:pPr>
      <w:r>
        <w:t xml:space="preserve">[ ] CORS restrito ao domínio da aplicação</w:t>
      </w:r>
    </w:p>
    <w:p>
      <w:pPr>
        <w:pStyle w:val="Heading2"/>
      </w:pPr>
      <w:r>
        <w:t xml:space="preserve">5. Dependências</w:t>
      </w:r>
    </w:p>
    <w:p>
      <w:pPr>
        <w:pStyle w:val="ListParagraph"/>
        <w:numPr>
          <w:ilvl w:val="0"/>
          <w:numId w:val="1"/>
        </w:numPr>
      </w:pPr>
      <w:r>
        <w:t xml:space="preserve">[ ] </w:t>
      </w:r>
      <w:r>
        <w:rPr>
          <w:rFonts w:ascii="Consolas" w:cs="Consolas" w:eastAsia="Consolas" w:hAnsi="Consolas"/>
          <w:sz w:val="20"/>
          <w:szCs w:val="20"/>
        </w:rPr>
        <w:t xml:space="preserve">dotnet list package --vulnerable</w:t>
      </w:r>
      <w:r>
        <w:t xml:space="preserve"> sem críticos abertos (ou excepção documentada)</w:t>
      </w:r>
    </w:p>
    <w:p>
      <w:pPr>
        <w:pStyle w:val="ListParagraph"/>
        <w:numPr>
          <w:ilvl w:val="0"/>
          <w:numId w:val="1"/>
        </w:numPr>
      </w:pPr>
      <w:r>
        <w:t xml:space="preserve">[ ] Imagem Docker actualizada (base image patch level)</w:t>
      </w:r>
    </w:p>
    <w:p>
      <w:pPr>
        <w:pStyle w:val="Heading2"/>
      </w:pPr>
      <w:r>
        <w:t xml:space="preserve">6. Regulatório (smoke)</w:t>
      </w:r>
    </w:p>
    <w:p>
      <w:pPr>
        <w:pStyle w:val="ListParagraph"/>
        <w:numPr>
          <w:ilvl w:val="0"/>
          <w:numId w:val="1"/>
        </w:numPr>
      </w:pPr>
      <w:r>
        <w:t xml:space="preserve">[ ] Audit trail imutável (trigger PostgreSQL </w:t>
      </w:r>
      <w:r>
        <w:rPr>
          <w:rFonts w:ascii="Consolas" w:cs="Consolas" w:eastAsia="Consolas" w:hAnsi="Consolas"/>
          <w:sz w:val="20"/>
          <w:szCs w:val="20"/>
        </w:rPr>
        <w:t xml:space="preserve">tr_audit_entries_immutable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[ ] Versão PAC/scoring/DPIA activa não apagável (interceptor EF)</w:t>
      </w:r>
    </w:p>
    <w:p>
      <w:pPr>
        <w:pStyle w:val="Heading2"/>
      </w:pPr>
      <w:r>
        <w:t xml:space="preserve">Resultado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Executor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Ferramenta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Críticos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Altos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Médios</w:t>
            </w:r>
          </w:p>
        </w:tc>
        <w:tc>
          <w:tcPr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Aprovado homologação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☐ Sim ☐ Não</w:t>
            </w:r>
          </w:p>
        </w:tc>
      </w:tr>
    </w:tbl>
    <w:p/>
    <w:p>
      <w:r>
        <w:rPr>
          <w:b/>
          <w:bCs/>
        </w:rPr>
        <w:t xml:space="preserve">Notas / findings:</w:t>
      </w:r>
    </w:p>
    <w:p>
      <w:r>
        <w:t xml:space="preserve">_(preencher após scan)_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Governança e Segurança</dc:title>
  <dc:creator>KYC Platform</dc:creator>
  <cp:lastModifiedBy>Un-named</cp:lastModifiedBy>
  <cp:revision>1</cp:revision>
  <dcterms:created xsi:type="dcterms:W3CDTF">2026-05-31T11:54:52.278Z</dcterms:created>
  <dcterms:modified xsi:type="dcterms:W3CDTF">2026-05-31T11:54:52.278Z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