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4427" w14:textId="77777777" w:rsidR="003623B5" w:rsidRDefault="003623B5" w:rsidP="003623B5">
      <w:pPr>
        <w:spacing w:after="240"/>
        <w:rPr>
          <w:rFonts w:eastAsiaTheme="minorEastAsia"/>
          <w:color w:val="000000" w:themeColor="text1"/>
        </w:rPr>
      </w:pPr>
    </w:p>
    <w:tbl>
      <w:tblPr>
        <w:tblStyle w:val="Tabelacomgrade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6A0" w:firstRow="1" w:lastRow="0" w:firstColumn="1" w:lastColumn="0" w:noHBand="1" w:noVBand="1"/>
      </w:tblPr>
      <w:tblGrid>
        <w:gridCol w:w="2826"/>
        <w:gridCol w:w="5648"/>
      </w:tblGrid>
      <w:tr w:rsidR="003623B5" w14:paraId="00AA8F4F" w14:textId="77777777" w:rsidTr="000A409C">
        <w:trPr>
          <w:trHeight w:val="300"/>
        </w:trPr>
        <w:tc>
          <w:tcPr>
            <w:tcW w:w="2820" w:type="dxa"/>
          </w:tcPr>
          <w:p w14:paraId="2DF36988" w14:textId="77777777" w:rsidR="003623B5" w:rsidRDefault="003623B5" w:rsidP="000A409C">
            <w:r>
              <w:rPr>
                <w:noProof/>
              </w:rPr>
              <w:drawing>
                <wp:inline distT="0" distB="0" distL="0" distR="0" wp14:anchorId="78943ECE" wp14:editId="6A3A5E4B">
                  <wp:extent cx="1657350" cy="828675"/>
                  <wp:effectExtent l="0" t="0" r="0" b="0"/>
                  <wp:docPr id="19216467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646772" name="Picture 192164677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5" w:type="dxa"/>
          </w:tcPr>
          <w:p w14:paraId="6E244651" w14:textId="77777777" w:rsidR="003623B5" w:rsidRDefault="003623B5" w:rsidP="000A409C">
            <w:pPr>
              <w:pStyle w:val="Cabealho"/>
              <w:rPr>
                <w:rFonts w:ascii="Times New Roman" w:eastAsia="Times New Roman" w:hAnsi="Times New Roman" w:cs="Times New Roman"/>
              </w:rPr>
            </w:pPr>
            <w:r w:rsidRPr="085FABFE">
              <w:rPr>
                <w:rFonts w:ascii="Times New Roman" w:eastAsia="Times New Roman" w:hAnsi="Times New Roman" w:cs="Times New Roman"/>
                <w:b/>
                <w:bCs/>
              </w:rPr>
              <w:t>Universidade de Brasília – UnB</w:t>
            </w:r>
            <w:r>
              <w:br/>
            </w:r>
            <w:r w:rsidRPr="085FABFE">
              <w:rPr>
                <w:rFonts w:ascii="Times New Roman" w:eastAsia="Times New Roman" w:hAnsi="Times New Roman" w:cs="Times New Roman"/>
              </w:rPr>
              <w:t xml:space="preserve"> </w:t>
            </w:r>
            <w:r w:rsidRPr="085FABFE">
              <w:rPr>
                <w:rFonts w:ascii="Times New Roman" w:eastAsia="Times New Roman" w:hAnsi="Times New Roman" w:cs="Times New Roman"/>
                <w:b/>
                <w:bCs/>
              </w:rPr>
              <w:t>Faculdade de Economia, Administração, Contabilidade e Gestão de Políticas Públicas</w:t>
            </w:r>
            <w:r>
              <w:br/>
            </w:r>
            <w:r w:rsidRPr="085FABFE">
              <w:rPr>
                <w:rFonts w:ascii="Times New Roman" w:eastAsia="Times New Roman" w:hAnsi="Times New Roman" w:cs="Times New Roman"/>
              </w:rPr>
              <w:t xml:space="preserve"> </w:t>
            </w:r>
            <w:r w:rsidRPr="085FABFE">
              <w:rPr>
                <w:rFonts w:ascii="Times New Roman" w:eastAsia="Times New Roman" w:hAnsi="Times New Roman" w:cs="Times New Roman"/>
                <w:b/>
                <w:bCs/>
              </w:rPr>
              <w:t>Departamento de Ciências Contábeis e Atuariais</w:t>
            </w:r>
            <w:r>
              <w:br/>
            </w:r>
            <w:r w:rsidRPr="085FABFE">
              <w:rPr>
                <w:rFonts w:ascii="Times New Roman" w:eastAsia="Times New Roman" w:hAnsi="Times New Roman" w:cs="Times New Roman"/>
              </w:rPr>
              <w:t xml:space="preserve"> </w:t>
            </w:r>
            <w:r w:rsidRPr="085FABFE">
              <w:rPr>
                <w:rFonts w:ascii="Times New Roman" w:eastAsia="Times New Roman" w:hAnsi="Times New Roman" w:cs="Times New Roman"/>
                <w:b/>
                <w:bCs/>
              </w:rPr>
              <w:t>Curso de Ciências Contábeis</w:t>
            </w:r>
          </w:p>
        </w:tc>
      </w:tr>
    </w:tbl>
    <w:p w14:paraId="2A48832C" w14:textId="77777777" w:rsidR="003623B5" w:rsidRDefault="003623B5" w:rsidP="003623B5">
      <w:pPr>
        <w:spacing w:after="240"/>
        <w:rPr>
          <w:rFonts w:eastAsiaTheme="minorEastAsia"/>
          <w:color w:val="000000" w:themeColor="text1"/>
        </w:rPr>
      </w:pPr>
    </w:p>
    <w:p w14:paraId="3ADCEEAD" w14:textId="77777777" w:rsidR="003623B5" w:rsidRDefault="003623B5" w:rsidP="006B3E33">
      <w:pPr>
        <w:spacing w:after="240"/>
        <w:ind w:left="2124" w:firstLine="708"/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</w:pPr>
      <w:r w:rsidRPr="085FABFE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PROVA 1</w:t>
      </w:r>
    </w:p>
    <w:p w14:paraId="48BD30F6" w14:textId="77777777" w:rsidR="003623B5" w:rsidRDefault="003623B5" w:rsidP="006B3E33">
      <w:pPr>
        <w:spacing w:after="240"/>
        <w:ind w:left="708" w:firstLine="708"/>
        <w:rPr>
          <w:rFonts w:ascii="Times New Roman" w:eastAsia="Times New Roman" w:hAnsi="Times New Roman" w:cs="Times New Roman"/>
          <w:sz w:val="48"/>
          <w:szCs w:val="48"/>
        </w:rPr>
      </w:pPr>
      <w:r w:rsidRPr="085FABFE">
        <w:rPr>
          <w:rFonts w:ascii="Times New Roman" w:eastAsia="Times New Roman" w:hAnsi="Times New Roman" w:cs="Times New Roman"/>
          <w:sz w:val="52"/>
          <w:szCs w:val="52"/>
        </w:rPr>
        <w:t>Finanças do Setor Público</w:t>
      </w:r>
      <w:r>
        <w:br/>
      </w:r>
    </w:p>
    <w:p w14:paraId="1D0C21E4" w14:textId="77777777" w:rsidR="003623B5" w:rsidRDefault="003623B5" w:rsidP="003623B5">
      <w:pPr>
        <w:spacing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757CD71B" w14:textId="77777777" w:rsidR="003623B5" w:rsidRDefault="003623B5" w:rsidP="003623B5">
      <w:pPr>
        <w:spacing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51551840" w14:textId="77777777" w:rsidR="003623B5" w:rsidRDefault="003623B5" w:rsidP="003623B5">
      <w:pPr>
        <w:spacing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48902963" w14:textId="77777777" w:rsidR="003623B5" w:rsidRDefault="003623B5" w:rsidP="003623B5">
      <w:pPr>
        <w:spacing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5D90A882" w14:textId="61080A74" w:rsidR="003623B5" w:rsidRDefault="003623B5" w:rsidP="003623B5">
      <w:pPr>
        <w:spacing w:after="240"/>
        <w:rPr>
          <w:rFonts w:ascii="Times New Roman" w:eastAsia="Times New Roman" w:hAnsi="Times New Roman" w:cs="Times New Roman"/>
        </w:rPr>
      </w:pPr>
      <w:r w:rsidRPr="085FABFE">
        <w:rPr>
          <w:rFonts w:ascii="Times New Roman" w:eastAsia="Times New Roman" w:hAnsi="Times New Roman" w:cs="Times New Roman"/>
          <w:b/>
          <w:bCs/>
        </w:rPr>
        <w:t>Disciplina:</w:t>
      </w:r>
      <w:r w:rsidRPr="085FABFE">
        <w:rPr>
          <w:rFonts w:ascii="Times New Roman" w:eastAsia="Times New Roman" w:hAnsi="Times New Roman" w:cs="Times New Roman"/>
        </w:rPr>
        <w:t xml:space="preserve"> Finanças do Setor Público</w:t>
      </w:r>
      <w:r>
        <w:br/>
      </w:r>
      <w:r w:rsidRPr="085FABFE">
        <w:rPr>
          <w:rFonts w:ascii="Times New Roman" w:eastAsia="Times New Roman" w:hAnsi="Times New Roman" w:cs="Times New Roman"/>
        </w:rPr>
        <w:t xml:space="preserve"> </w:t>
      </w:r>
      <w:r w:rsidRPr="085FABFE">
        <w:rPr>
          <w:rFonts w:ascii="Times New Roman" w:eastAsia="Times New Roman" w:hAnsi="Times New Roman" w:cs="Times New Roman"/>
          <w:b/>
          <w:bCs/>
        </w:rPr>
        <w:t>Aluno:</w:t>
      </w:r>
      <w:r w:rsidRPr="085FABF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Vítor Carvalho Sarmento</w:t>
      </w:r>
      <w:r>
        <w:br/>
      </w:r>
      <w:r w:rsidRPr="085FABFE">
        <w:rPr>
          <w:rFonts w:ascii="Times New Roman" w:eastAsia="Times New Roman" w:hAnsi="Times New Roman" w:cs="Times New Roman"/>
        </w:rPr>
        <w:t xml:space="preserve"> </w:t>
      </w:r>
      <w:r w:rsidRPr="085FABFE">
        <w:rPr>
          <w:rFonts w:ascii="Times New Roman" w:eastAsia="Times New Roman" w:hAnsi="Times New Roman" w:cs="Times New Roman"/>
          <w:b/>
          <w:bCs/>
        </w:rPr>
        <w:t>Matrícula:</w:t>
      </w:r>
      <w:r w:rsidRPr="085FABFE">
        <w:rPr>
          <w:rFonts w:ascii="Times New Roman" w:eastAsia="Times New Roman" w:hAnsi="Times New Roman" w:cs="Times New Roman"/>
        </w:rPr>
        <w:t xml:space="preserve"> 241</w:t>
      </w:r>
      <w:r>
        <w:rPr>
          <w:rFonts w:ascii="Times New Roman" w:eastAsia="Times New Roman" w:hAnsi="Times New Roman" w:cs="Times New Roman"/>
        </w:rPr>
        <w:t>003535</w:t>
      </w:r>
      <w:r>
        <w:br/>
      </w:r>
    </w:p>
    <w:p w14:paraId="119D7280" w14:textId="24D6D6C8" w:rsidR="003623B5" w:rsidRDefault="003623B5" w:rsidP="003623B5">
      <w:pPr>
        <w:spacing w:after="240"/>
        <w:rPr>
          <w:rFonts w:ascii="Times New Roman" w:eastAsia="Times New Roman" w:hAnsi="Times New Roman" w:cs="Times New Roman"/>
        </w:rPr>
      </w:pPr>
      <w:r w:rsidRPr="085FABFE">
        <w:rPr>
          <w:rFonts w:ascii="Times New Roman" w:eastAsia="Times New Roman" w:hAnsi="Times New Roman" w:cs="Times New Roman"/>
          <w:b/>
          <w:bCs/>
        </w:rPr>
        <w:t xml:space="preserve">Repositório </w:t>
      </w:r>
      <w:r>
        <w:rPr>
          <w:rFonts w:ascii="Times New Roman" w:eastAsia="Times New Roman" w:hAnsi="Times New Roman" w:cs="Times New Roman"/>
          <w:b/>
          <w:bCs/>
        </w:rPr>
        <w:t>Google Drive</w:t>
      </w:r>
      <w:r w:rsidRPr="085FABFE">
        <w:rPr>
          <w:rFonts w:ascii="Times New Roman" w:eastAsia="Times New Roman" w:hAnsi="Times New Roman" w:cs="Times New Roman"/>
          <w:b/>
          <w:bCs/>
        </w:rPr>
        <w:t>:</w:t>
      </w:r>
      <w:r>
        <w:br/>
      </w:r>
      <w:r w:rsidR="0041537C" w:rsidRPr="0041537C">
        <w:rPr>
          <w:rFonts w:ascii="Times New Roman" w:eastAsia="Times New Roman" w:hAnsi="Times New Roman" w:cs="Times New Roman"/>
        </w:rPr>
        <w:t>https://github.com/vitorcss75/Dados_Financas.git</w:t>
      </w:r>
    </w:p>
    <w:p w14:paraId="603E41DC" w14:textId="77777777" w:rsidR="003623B5" w:rsidRDefault="003623B5" w:rsidP="003623B5">
      <w:pPr>
        <w:spacing w:after="240"/>
        <w:rPr>
          <w:rFonts w:ascii="Times New Roman" w:eastAsia="Times New Roman" w:hAnsi="Times New Roman" w:cs="Times New Roman"/>
        </w:rPr>
      </w:pPr>
    </w:p>
    <w:p w14:paraId="4F7178F3" w14:textId="77777777" w:rsidR="003623B5" w:rsidRDefault="003623B5" w:rsidP="003623B5">
      <w:pPr>
        <w:spacing w:after="240"/>
        <w:rPr>
          <w:rFonts w:ascii="Times New Roman" w:eastAsia="Times New Roman" w:hAnsi="Times New Roman" w:cs="Times New Roman"/>
        </w:rPr>
      </w:pPr>
    </w:p>
    <w:p w14:paraId="4F39EEEC" w14:textId="77777777" w:rsidR="003623B5" w:rsidRDefault="003623B5" w:rsidP="003623B5">
      <w:pPr>
        <w:spacing w:after="240"/>
        <w:rPr>
          <w:rFonts w:ascii="Times New Roman" w:eastAsia="Times New Roman" w:hAnsi="Times New Roman" w:cs="Times New Roman"/>
        </w:rPr>
      </w:pPr>
    </w:p>
    <w:p w14:paraId="7C8FBC1B" w14:textId="77777777" w:rsidR="003623B5" w:rsidRDefault="003623B5" w:rsidP="003623B5">
      <w:pPr>
        <w:spacing w:after="240"/>
        <w:rPr>
          <w:rFonts w:ascii="Times New Roman" w:eastAsia="Times New Roman" w:hAnsi="Times New Roman" w:cs="Times New Roman"/>
        </w:rPr>
      </w:pPr>
    </w:p>
    <w:p w14:paraId="313058FC" w14:textId="77777777" w:rsidR="003623B5" w:rsidRDefault="003623B5" w:rsidP="003623B5">
      <w:pPr>
        <w:spacing w:after="240"/>
        <w:rPr>
          <w:rFonts w:ascii="Times New Roman" w:eastAsia="Times New Roman" w:hAnsi="Times New Roman" w:cs="Times New Roman"/>
        </w:rPr>
      </w:pPr>
    </w:p>
    <w:p w14:paraId="26D29B15" w14:textId="55020A9A" w:rsidR="003623B5" w:rsidRDefault="003623B5" w:rsidP="003623B5">
      <w:pPr>
        <w:spacing w:after="240"/>
        <w:ind w:left="2832" w:firstLine="708"/>
        <w:rPr>
          <w:rFonts w:ascii="Times New Roman" w:eastAsia="Times New Roman" w:hAnsi="Times New Roman" w:cs="Times New Roman"/>
        </w:rPr>
      </w:pPr>
      <w:r w:rsidRPr="085FABFE">
        <w:rPr>
          <w:rFonts w:ascii="Times New Roman" w:eastAsia="Times New Roman" w:hAnsi="Times New Roman" w:cs="Times New Roman"/>
        </w:rPr>
        <w:t>Brasília – DF</w:t>
      </w:r>
      <w:r>
        <w:br/>
      </w:r>
      <w:r w:rsidRPr="085FABF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    </w:t>
      </w:r>
      <w:r w:rsidRPr="085FABFE">
        <w:rPr>
          <w:rFonts w:ascii="Times New Roman" w:eastAsia="Times New Roman" w:hAnsi="Times New Roman" w:cs="Times New Roman"/>
        </w:rPr>
        <w:t>2026</w:t>
      </w:r>
    </w:p>
    <w:p w14:paraId="66780D69" w14:textId="77777777" w:rsidR="003623B5" w:rsidRDefault="003623B5" w:rsidP="00BB46A0">
      <w:pPr>
        <w:rPr>
          <w:b/>
          <w:bCs/>
        </w:rPr>
      </w:pPr>
    </w:p>
    <w:p w14:paraId="29513A24" w14:textId="6BEFA192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lastRenderedPageBreak/>
        <w:t xml:space="preserve">Finanças Públicas </w:t>
      </w:r>
    </w:p>
    <w:p w14:paraId="2C303A11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Municípios de Lábrea/AM e Eirunepé/AM · Irlanda</w:t>
      </w:r>
    </w:p>
    <w:p w14:paraId="47F26BBC" w14:textId="77777777" w:rsidR="00BB46A0" w:rsidRPr="00BB46A0" w:rsidRDefault="00000000" w:rsidP="00BB46A0">
      <w:r>
        <w:pict w14:anchorId="7A92FEE3">
          <v:rect id="_x0000_i1025" style="width:0;height:1.5pt" o:hralign="center" o:hrstd="t" o:hr="t" fillcolor="#a0a0a0" stroked="f"/>
        </w:pict>
      </w:r>
    </w:p>
    <w:p w14:paraId="3A1BDA59" w14:textId="6D04EF44" w:rsidR="00BB46A0" w:rsidRPr="00BB46A0" w:rsidRDefault="00BB46A0" w:rsidP="00BB46A0">
      <w:r w:rsidRPr="00BB46A0">
        <w:rPr>
          <w:b/>
          <w:bCs/>
        </w:rPr>
        <w:t>Nota metodológica sobre as séries de dados</w:t>
      </w:r>
      <w:r w:rsidR="006B3E33">
        <w:rPr>
          <w:b/>
          <w:bCs/>
        </w:rPr>
        <w:t>:</w:t>
      </w:r>
      <w:r w:rsidRPr="00BB46A0">
        <w:t xml:space="preserve"> Todos os dados da Irlanda foram extraídos do </w:t>
      </w:r>
      <w:r w:rsidRPr="00BB46A0">
        <w:rPr>
          <w:i/>
          <w:iCs/>
        </w:rPr>
        <w:t xml:space="preserve">Central </w:t>
      </w:r>
      <w:proofErr w:type="spellStart"/>
      <w:r w:rsidRPr="00BB46A0">
        <w:rPr>
          <w:i/>
          <w:iCs/>
        </w:rPr>
        <w:t>Statistics</w:t>
      </w:r>
      <w:proofErr w:type="spellEnd"/>
      <w:r w:rsidRPr="00BB46A0">
        <w:rPr>
          <w:i/>
          <w:iCs/>
        </w:rPr>
        <w:t xml:space="preserve"> Office</w:t>
      </w:r>
      <w:r w:rsidRPr="00BB46A0">
        <w:t xml:space="preserve"> (CSO) irlandês </w:t>
      </w:r>
      <w:r w:rsidR="006B3E33">
        <w:t>-</w:t>
      </w:r>
      <w:r w:rsidRPr="00BB46A0">
        <w:t xml:space="preserve"> </w:t>
      </w:r>
      <w:proofErr w:type="spellStart"/>
      <w:r w:rsidRPr="00BB46A0">
        <w:rPr>
          <w:i/>
          <w:iCs/>
        </w:rPr>
        <w:t>Government</w:t>
      </w:r>
      <w:proofErr w:type="spellEnd"/>
      <w:r w:rsidRPr="00BB46A0">
        <w:rPr>
          <w:i/>
          <w:iCs/>
        </w:rPr>
        <w:t xml:space="preserve"> </w:t>
      </w:r>
      <w:proofErr w:type="spellStart"/>
      <w:r w:rsidRPr="00BB46A0">
        <w:rPr>
          <w:i/>
          <w:iCs/>
        </w:rPr>
        <w:t>Finance</w:t>
      </w:r>
      <w:proofErr w:type="spellEnd"/>
      <w:r w:rsidRPr="00BB46A0">
        <w:rPr>
          <w:i/>
          <w:iCs/>
        </w:rPr>
        <w:t xml:space="preserve"> </w:t>
      </w:r>
      <w:proofErr w:type="spellStart"/>
      <w:r w:rsidRPr="00BB46A0">
        <w:rPr>
          <w:i/>
          <w:iCs/>
        </w:rPr>
        <w:t>Statistics</w:t>
      </w:r>
      <w:proofErr w:type="spellEnd"/>
      <w:r w:rsidRPr="00BB46A0">
        <w:t xml:space="preserve">, edição de abril de 2025 </w:t>
      </w:r>
      <w:r w:rsidR="006B3E33">
        <w:t>-</w:t>
      </w:r>
      <w:r w:rsidRPr="00BB46A0">
        <w:t xml:space="preserve"> e conferidos contra o banco de dados do Eurostat (ESA 2010). Os dados nominais dos municípios brasileiros provêm do </w:t>
      </w:r>
      <w:proofErr w:type="spellStart"/>
      <w:r w:rsidRPr="00BB46A0">
        <w:t>Siconfi</w:t>
      </w:r>
      <w:proofErr w:type="spellEnd"/>
      <w:r w:rsidRPr="00BB46A0">
        <w:t>/STN. O deflacionamento municipal utilizou os fatores IPCA encadeados (Tabela 1737, SIDRA/IBGE), com base em dezembro de 2024.</w:t>
      </w:r>
    </w:p>
    <w:p w14:paraId="59945402" w14:textId="77777777" w:rsidR="00BB46A0" w:rsidRPr="00BB46A0" w:rsidRDefault="00000000" w:rsidP="00BB46A0">
      <w:r>
        <w:pict w14:anchorId="74494622">
          <v:rect id="_x0000_i1026" style="width:0;height:1.5pt" o:hralign="center" o:hrstd="t" o:hr="t" fillcolor="#a0a0a0" stroked="f"/>
        </w:pict>
      </w:r>
    </w:p>
    <w:p w14:paraId="2A67BC1A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Tabela-Mestre da Irlanda (fonte única — CSO/Eurostat, valores nominais em €B)</w:t>
      </w:r>
    </w:p>
    <w:tbl>
      <w:tblPr>
        <w:tblW w:w="6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3"/>
        <w:gridCol w:w="832"/>
        <w:gridCol w:w="973"/>
        <w:gridCol w:w="1098"/>
        <w:gridCol w:w="1256"/>
        <w:gridCol w:w="902"/>
        <w:gridCol w:w="920"/>
      </w:tblGrid>
      <w:tr w:rsidR="00BB46A0" w:rsidRPr="00BB46A0" w14:paraId="717A74D1" w14:textId="77777777" w:rsidTr="00BB46A0">
        <w:trPr>
          <w:trHeight w:val="1260"/>
        </w:trPr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395FE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E2D6D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PIB (€B)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41ADF9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Receita Total (€B)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BC2191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Despesa Total (€B)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609809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Resultado Fiscal (€B)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B55B60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Saldo % PIB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7F3E01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Carga Trib. % PIB</w:t>
            </w:r>
          </w:p>
        </w:tc>
      </w:tr>
      <w:tr w:rsidR="00BB46A0" w:rsidRPr="00BB46A0" w14:paraId="7644909E" w14:textId="77777777" w:rsidTr="00BB46A0">
        <w:trPr>
          <w:trHeight w:val="315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06892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185938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255,6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238B51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68,8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A48854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71,6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0ED98E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−2,8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BCEAA9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−1,1%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833992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23,00%</w:t>
            </w:r>
          </w:p>
        </w:tc>
      </w:tr>
      <w:tr w:rsidR="00BB46A0" w:rsidRPr="00BB46A0" w14:paraId="19B8B1E6" w14:textId="77777777" w:rsidTr="00BB46A0">
        <w:trPr>
          <w:trHeight w:val="315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D03E5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3B43D4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331,4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A5FB7A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76,7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AD3A87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77,9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B4A9F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−1,2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AAB9F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−0,4%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76E841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22,80%</w:t>
            </w:r>
          </w:p>
        </w:tc>
      </w:tr>
      <w:tr w:rsidR="00BB46A0" w:rsidRPr="00BB46A0" w14:paraId="768B674B" w14:textId="77777777" w:rsidTr="00BB46A0">
        <w:trPr>
          <w:trHeight w:val="315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8D8571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45256E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379,7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B9BD96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83,5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AAE80D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83,2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951C47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6ABCAB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0,10%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49CAE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22,30%</w:t>
            </w:r>
          </w:p>
        </w:tc>
      </w:tr>
      <w:tr w:rsidR="00BB46A0" w:rsidRPr="00BB46A0" w14:paraId="52B37426" w14:textId="77777777" w:rsidTr="00BB46A0">
        <w:trPr>
          <w:trHeight w:val="315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06AF44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7EA9D4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363,7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4619F5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87,3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5EB415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85,8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2F4892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FFD2B1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0,40%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2BF59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21,80%</w:t>
            </w:r>
          </w:p>
        </w:tc>
      </w:tr>
      <w:tr w:rsidR="00BB46A0" w:rsidRPr="00BB46A0" w14:paraId="0D3AB2AB" w14:textId="77777777" w:rsidTr="00BB46A0">
        <w:trPr>
          <w:trHeight w:val="315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7BC632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6F57B0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382,2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83C784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87,2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89DEDB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105,8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375178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−18,6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D6799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−4,9%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C2DED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19,40%</w:t>
            </w:r>
          </w:p>
        </w:tc>
      </w:tr>
      <w:tr w:rsidR="00BB46A0" w:rsidRPr="00BB46A0" w14:paraId="071326E4" w14:textId="77777777" w:rsidTr="00BB46A0">
        <w:trPr>
          <w:trHeight w:val="315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E50E3C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5FCB8B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449,2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1072BB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98,9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0E449A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AAB86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−6,1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431CE2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−1,4%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B7BE7A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20,00%</w:t>
            </w:r>
          </w:p>
        </w:tc>
      </w:tr>
      <w:tr w:rsidR="00BB46A0" w:rsidRPr="00BB46A0" w14:paraId="60B03304" w14:textId="77777777" w:rsidTr="00BB46A0">
        <w:trPr>
          <w:trHeight w:val="315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C7A0C5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F51EC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504,3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6B8F4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115,5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1249FA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107,5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ACAD6C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85EB84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1,60%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8F448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20,30%</w:t>
            </w:r>
          </w:p>
        </w:tc>
      </w:tr>
      <w:tr w:rsidR="00BB46A0" w:rsidRPr="00BB46A0" w14:paraId="3CB2DC67" w14:textId="77777777" w:rsidTr="00BB46A0">
        <w:trPr>
          <w:trHeight w:val="315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1F785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A185B3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533,2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322CF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123,8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AB1F91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115,9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E6B246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7,9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5214E6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1,50%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F8A3DA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21,30%</w:t>
            </w:r>
          </w:p>
        </w:tc>
      </w:tr>
      <w:tr w:rsidR="00BB46A0" w:rsidRPr="00BB46A0" w14:paraId="01512ACC" w14:textId="77777777" w:rsidTr="00BB46A0">
        <w:trPr>
          <w:trHeight w:val="315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BE3F26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896595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534,4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AB144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148,3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3F30A8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125,1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A6FCB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23,2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DF76E8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4,30%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E16E4C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23,50%</w:t>
            </w:r>
          </w:p>
        </w:tc>
      </w:tr>
      <w:tr w:rsidR="00BB46A0" w:rsidRPr="00BB46A0" w14:paraId="1B6131B7" w14:textId="77777777" w:rsidTr="00BB46A0">
        <w:trPr>
          <w:trHeight w:val="315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E3935A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2025*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8A2DD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590,1*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ACBBFC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149,5*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B47D84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133,9*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3FED4F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+15,6*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7FC24F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+1,8%*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4E2152" w14:textId="77777777" w:rsidR="00BB46A0" w:rsidRPr="00BB46A0" w:rsidRDefault="00BB46A0" w:rsidP="00BB46A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21,7%*</w:t>
            </w:r>
          </w:p>
        </w:tc>
      </w:tr>
    </w:tbl>
    <w:p w14:paraId="471E6BAE" w14:textId="3E03575B" w:rsidR="00BB46A0" w:rsidRPr="00BB46A0" w:rsidRDefault="00BB46A0" w:rsidP="00BB46A0">
      <w:r w:rsidRPr="00BB46A0">
        <w:rPr>
          <w:i/>
          <w:iCs/>
        </w:rPr>
        <w:t>*2025: estimativa preliminar CSO/Eurostat (dados não consolidados).</w:t>
      </w:r>
    </w:p>
    <w:p w14:paraId="7515D377" w14:textId="77777777" w:rsidR="00BB46A0" w:rsidRPr="00BB46A0" w:rsidRDefault="00000000" w:rsidP="00BB46A0">
      <w:r>
        <w:pict w14:anchorId="3A146BBB">
          <v:rect id="_x0000_i1027" style="width:0;height:1.5pt" o:hralign="center" o:hrstd="t" o:hr="t" fillcolor="#a0a0a0" stroked="f"/>
        </w:pict>
      </w:r>
    </w:p>
    <w:p w14:paraId="615E7397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 xml:space="preserve">Tabela-Mestre dos Municípios (fonte única — </w:t>
      </w:r>
      <w:proofErr w:type="spellStart"/>
      <w:r w:rsidRPr="00BB46A0">
        <w:rPr>
          <w:b/>
          <w:bCs/>
        </w:rPr>
        <w:t>Siconfi</w:t>
      </w:r>
      <w:proofErr w:type="spellEnd"/>
      <w:r w:rsidRPr="00BB46A0">
        <w:rPr>
          <w:b/>
          <w:bCs/>
        </w:rPr>
        <w:t>/STN, valores nominais em R$)</w:t>
      </w:r>
    </w:p>
    <w:tbl>
      <w:tblPr>
        <w:tblW w:w="9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860"/>
        <w:gridCol w:w="1940"/>
        <w:gridCol w:w="1880"/>
        <w:gridCol w:w="1880"/>
      </w:tblGrid>
      <w:tr w:rsidR="00BB46A0" w:rsidRPr="00BB46A0" w14:paraId="53C0E9AD" w14:textId="77777777" w:rsidTr="00BB46A0">
        <w:trPr>
          <w:trHeight w:val="63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07A10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776FA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Lábrea — Receita (R$)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C3361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Lábrea Despesa (R$)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BF2EC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Resultado Lábrea (R$)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303AD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Fator IPCA</w:t>
            </w:r>
          </w:p>
        </w:tc>
      </w:tr>
      <w:tr w:rsidR="00BB46A0" w:rsidRPr="00BB46A0" w14:paraId="672FC725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165E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FBA9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119.908.285,40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5307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102.090.608,67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1B66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17.817.676,73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041F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1,7247</w:t>
            </w:r>
          </w:p>
        </w:tc>
      </w:tr>
      <w:tr w:rsidR="00BB46A0" w:rsidRPr="00BB46A0" w14:paraId="124D7203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C08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24FC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119.539.573,31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ADFA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110.498.214,01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3E92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9.041.359,30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4805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1,6226</w:t>
            </w:r>
          </w:p>
        </w:tc>
      </w:tr>
      <w:tr w:rsidR="00BB46A0" w:rsidRPr="00BB46A0" w14:paraId="27BB0846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BAB1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F6E9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133.020.094,84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1890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124.212.602,08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3E3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8.807.492,76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9883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1,5761</w:t>
            </w:r>
          </w:p>
        </w:tc>
      </w:tr>
      <w:tr w:rsidR="00BB46A0" w:rsidRPr="00BB46A0" w14:paraId="4BA04516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92B4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EFE3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137.600.897,84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AEF2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114.534.006,24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571F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23.066.891,60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2505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1,5191</w:t>
            </w:r>
          </w:p>
        </w:tc>
      </w:tr>
      <w:tr w:rsidR="00BB46A0" w:rsidRPr="00BB46A0" w14:paraId="5CF2C6F5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73B0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053D0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C04FE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8411E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6E24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1,4564</w:t>
            </w:r>
          </w:p>
        </w:tc>
      </w:tr>
      <w:tr w:rsidR="00BB46A0" w:rsidRPr="00BB46A0" w14:paraId="0D3C08E8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77BB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13B9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182.420.052,63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73D1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165.995.793,88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E4D4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16.424.258,75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86F8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1,3934</w:t>
            </w:r>
          </w:p>
        </w:tc>
      </w:tr>
      <w:tr w:rsidR="00BB46A0" w:rsidRPr="00BB46A0" w14:paraId="00A2D940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E64D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2021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FDE5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206.016.720,11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216C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183.745.862,52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FF82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22.270.857,59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0BF2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1,2651</w:t>
            </w:r>
          </w:p>
        </w:tc>
      </w:tr>
      <w:tr w:rsidR="00BB46A0" w:rsidRPr="00BB46A0" w14:paraId="5FD03F48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50CD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A94D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222.237.036,77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C96F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212.574.437,34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85C5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9.662.599,43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A807F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1,1959</w:t>
            </w:r>
          </w:p>
        </w:tc>
      </w:tr>
      <w:tr w:rsidR="00BB46A0" w:rsidRPr="00BB46A0" w14:paraId="49689C09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8A15F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388C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238.987.186,78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3679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217.695.400,68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A5E0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21.291.786,10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61FA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1,1429</w:t>
            </w:r>
          </w:p>
        </w:tc>
      </w:tr>
      <w:tr w:rsidR="00BB46A0" w:rsidRPr="00BB46A0" w14:paraId="0BF0E8A2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6EDB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A8DA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103.540.289,40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80E8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98.601.575,04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28EAF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4.938.714,36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8C59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</w:tr>
      <w:tr w:rsidR="00BB46A0" w:rsidRPr="00BB46A0" w14:paraId="19688458" w14:textId="77777777" w:rsidTr="00BB46A0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939D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D90CD" w14:textId="77777777" w:rsidR="00BB46A0" w:rsidRPr="00BB46A0" w:rsidRDefault="00BB46A0" w:rsidP="00BB4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8E72E" w14:textId="77777777" w:rsidR="00BB46A0" w:rsidRPr="00BB46A0" w:rsidRDefault="00BB46A0" w:rsidP="00BB4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9C054" w14:textId="77777777" w:rsidR="00BB46A0" w:rsidRPr="00BB46A0" w:rsidRDefault="00BB46A0" w:rsidP="00BB4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43095" w14:textId="77777777" w:rsidR="00BB46A0" w:rsidRPr="00BB46A0" w:rsidRDefault="00BB46A0" w:rsidP="00BB4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BB46A0" w:rsidRPr="00BB46A0" w14:paraId="6B862082" w14:textId="77777777" w:rsidTr="00BB46A0">
        <w:trPr>
          <w:trHeight w:val="63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9F0FE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F35FC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Eirunepé — Receita (R$)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6EC18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Eirunepé — Despesa (R$)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C55F9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Resultado Eirunepé (R$)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AF1AB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Fator IPCA</w:t>
            </w:r>
          </w:p>
        </w:tc>
      </w:tr>
      <w:tr w:rsidR="00BB46A0" w:rsidRPr="00BB46A0" w14:paraId="30A46250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A10F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8AED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99.134.904,34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7436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74.237.208,12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2424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24.897.696,22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47E0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1,7247</w:t>
            </w:r>
          </w:p>
        </w:tc>
      </w:tr>
      <w:tr w:rsidR="00BB46A0" w:rsidRPr="00BB46A0" w14:paraId="3A393131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C5A4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006A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96.759.329,35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BD24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56.872.715,45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E4AE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39.886.613,90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B5AD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1,6226</w:t>
            </w:r>
          </w:p>
        </w:tc>
      </w:tr>
      <w:tr w:rsidR="00BB46A0" w:rsidRPr="00BB46A0" w14:paraId="780ADFBA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0F00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5247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105.448.870,73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4E6F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96.406.658,38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D3D6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9.042.212,35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9E17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1,5761</w:t>
            </w:r>
          </w:p>
        </w:tc>
      </w:tr>
      <w:tr w:rsidR="00BB46A0" w:rsidRPr="00BB46A0" w14:paraId="2DE82C13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5D27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6F3DF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127.321.219,01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67C0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129.882.220,01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17727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−2.561.001,00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5061C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1,5191</w:t>
            </w:r>
          </w:p>
        </w:tc>
      </w:tr>
      <w:tr w:rsidR="00BB46A0" w:rsidRPr="00BB46A0" w14:paraId="711E85CF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FAED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2609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132.718.282,97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F6FF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122.213.146,02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6658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10.505.136,95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1412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1,4564</w:t>
            </w:r>
          </w:p>
        </w:tc>
      </w:tr>
      <w:tr w:rsidR="00BB46A0" w:rsidRPr="00BB46A0" w14:paraId="472BFA67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0390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8B1D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151.042.324,60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C297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145.674.056,35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FFE0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5.368.268,25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0D15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1,3934</w:t>
            </w:r>
          </w:p>
        </w:tc>
      </w:tr>
      <w:tr w:rsidR="00BB46A0" w:rsidRPr="00BB46A0" w14:paraId="68143D2F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22EBC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7E30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167.932.746,95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D396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159.122.129,81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0885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8.810.617,14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BAD4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1,2651</w:t>
            </w:r>
          </w:p>
        </w:tc>
      </w:tr>
      <w:tr w:rsidR="00BB46A0" w:rsidRPr="00BB46A0" w14:paraId="0D4659BD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C289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DEDA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195.333.940,49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27CD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192.334.857,98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B991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2.999.082,51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D23E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1,1959</w:t>
            </w:r>
          </w:p>
        </w:tc>
      </w:tr>
      <w:tr w:rsidR="00BB46A0" w:rsidRPr="00BB46A0" w14:paraId="08E73D1D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D69D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1918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219.323.926,00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9410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209.056.393,38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0D15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10.267.532,62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A91C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1,1429</w:t>
            </w:r>
          </w:p>
        </w:tc>
      </w:tr>
      <w:tr w:rsidR="00BB46A0" w:rsidRPr="00BB46A0" w14:paraId="619BA572" w14:textId="77777777" w:rsidTr="00BB46A0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02F7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9CF5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196.960.631,73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3C75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192.107.576,69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26DA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4.853.055,04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589F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</w:tr>
    </w:tbl>
    <w:p w14:paraId="0B279B08" w14:textId="2B26EE0B" w:rsidR="00BB46A0" w:rsidRPr="00BB46A0" w:rsidRDefault="00BB46A0" w:rsidP="00BB46A0">
      <w:r w:rsidRPr="00BB46A0">
        <w:rPr>
          <w:b/>
          <w:bCs/>
        </w:rPr>
        <w:t>Notas:</w:t>
      </w:r>
      <w:r w:rsidRPr="00BB46A0">
        <w:t xml:space="preserve"> (1) Lábrea 2019 permanece ausente no </w:t>
      </w:r>
      <w:proofErr w:type="spellStart"/>
      <w:r w:rsidRPr="00BB46A0">
        <w:t>Siconfi</w:t>
      </w:r>
      <w:proofErr w:type="spellEnd"/>
      <w:r w:rsidRPr="00BB46A0">
        <w:t xml:space="preserve"> — dado não publicado pelo município. </w:t>
      </w:r>
    </w:p>
    <w:p w14:paraId="09732B7F" w14:textId="77777777" w:rsidR="00BB46A0" w:rsidRPr="00BB46A0" w:rsidRDefault="00000000" w:rsidP="00BB46A0">
      <w:r>
        <w:pict w14:anchorId="3C75B5A2">
          <v:rect id="_x0000_i1028" style="width:0;height:1.5pt" o:hralign="center" o:hrstd="t" o:hr="t" fillcolor="#a0a0a0" stroked="f"/>
        </w:pict>
      </w:r>
    </w:p>
    <w:p w14:paraId="15135BDF" w14:textId="673F72ED" w:rsidR="00BD4068" w:rsidRDefault="00BD4068" w:rsidP="00BB46A0">
      <w:pPr>
        <w:rPr>
          <w:b/>
          <w:bCs/>
        </w:rPr>
      </w:pPr>
      <w:r w:rsidRPr="00BD4068">
        <w:rPr>
          <w:b/>
          <w:bCs/>
        </w:rPr>
        <w:t>1) Explique como contabilidade, auditoria, administração e economia se conectam nas finanças públicas dos países e dos entes federativos (nos casos que existem). Inclua indicador real, correlação e análise crítica.</w:t>
      </w:r>
    </w:p>
    <w:p w14:paraId="22585359" w14:textId="204869E6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Questão 1 — Conexão entre Contabilidade, Auditoria, Administração e Economia nas Finanças Públicas</w:t>
      </w:r>
    </w:p>
    <w:p w14:paraId="31823741" w14:textId="77777777" w:rsidR="00BB46A0" w:rsidRPr="00BB46A0" w:rsidRDefault="00BB46A0" w:rsidP="00BB46A0">
      <w:r w:rsidRPr="00BB46A0">
        <w:t>As finanças públicas não podem ser compreendidas sob uma ótica isolada. Para que o Estado desempenhe suas funções de forma eficiente, coordenada e transparente, ocorre uma intersecção obrigatória entre quatro campos do conhecimento: Contabilidade, Auditoria, Administração e Economia.</w:t>
      </w:r>
    </w:p>
    <w:p w14:paraId="6B8E7BBF" w14:textId="77777777" w:rsidR="00BB46A0" w:rsidRPr="00BB46A0" w:rsidRDefault="00BB46A0" w:rsidP="00BB46A0">
      <w:r w:rsidRPr="00BB46A0">
        <w:rPr>
          <w:b/>
          <w:bCs/>
        </w:rPr>
        <w:t>Administração Pública:</w:t>
      </w:r>
      <w:r w:rsidRPr="00BB46A0">
        <w:t xml:space="preserve"> Atua no planejamento estratégico e na execução das políticas. Conforme discutido por Bresser-Pereira (2017) e consolidado no Plano Diretor da Reforma do Aparelho do Estado (PDRAE, 1995), a transição da administração pública burocrática para a gerencial foca na eficiência, na contratualização de resultados e no cidadão como destinatário dos serviços públicos. Cabe à Administração definir onde e como alocar os recursos por meio de instrumentos como o PPA, a LDO e a LOA.</w:t>
      </w:r>
    </w:p>
    <w:p w14:paraId="542E44FF" w14:textId="77777777" w:rsidR="00BB46A0" w:rsidRPr="00BB46A0" w:rsidRDefault="00BB46A0" w:rsidP="00BB46A0">
      <w:r w:rsidRPr="00BB46A0">
        <w:rPr>
          <w:b/>
          <w:bCs/>
        </w:rPr>
        <w:t>Contabilidade Pública:</w:t>
      </w:r>
      <w:r w:rsidRPr="00BB46A0">
        <w:t xml:space="preserve"> É o sistema de informação que subsidia a tomada de decisão. Ela registra, mensura e evidencia os atos e fatos que afetam o patrimônio público (</w:t>
      </w:r>
      <w:proofErr w:type="spellStart"/>
      <w:r w:rsidRPr="00BB46A0">
        <w:t>Giacomoni</w:t>
      </w:r>
      <w:proofErr w:type="spellEnd"/>
      <w:r w:rsidRPr="00BB46A0">
        <w:t xml:space="preserve">). Sem os registros contábeis padronizados exigidos pela Lei nº </w:t>
      </w:r>
      <w:r w:rsidRPr="00BB46A0">
        <w:lastRenderedPageBreak/>
        <w:t>4.320/64 e pelas Normas Brasileiras de Contabilidade Aplicadas ao Setor Público (NBC TSP), os gestores administrariam às cegas e a transparência fiscal seria inexistente.</w:t>
      </w:r>
    </w:p>
    <w:p w14:paraId="0E19D929" w14:textId="77777777" w:rsidR="00BB46A0" w:rsidRPr="00BB46A0" w:rsidRDefault="00BB46A0" w:rsidP="00BB46A0">
      <w:r w:rsidRPr="00BB46A0">
        <w:rPr>
          <w:b/>
          <w:bCs/>
        </w:rPr>
        <w:t>Auditoria Pública:</w:t>
      </w:r>
      <w:r w:rsidRPr="00BB46A0">
        <w:t xml:space="preserve"> Atua como mecanismo de controle e salvaguarda. Ela avalia se a execução financeira obedeceu aos limites legais (conformidade) e se os recursos geraram os resultados esperados (auditoria operacional). O Tribunal de Contas da União (TCU) e as diretrizes do ISC/TCU preconizam que o controle externo deve atuar não apenas de forma punitiva, mas como indutor de melhorias na governança pública.</w:t>
      </w:r>
    </w:p>
    <w:p w14:paraId="10ACAA4D" w14:textId="77777777" w:rsidR="00BB46A0" w:rsidRPr="00BB46A0" w:rsidRDefault="00BB46A0" w:rsidP="00BB46A0">
      <w:r w:rsidRPr="00BB46A0">
        <w:rPr>
          <w:b/>
          <w:bCs/>
        </w:rPr>
        <w:t>Economia do Setor Público:</w:t>
      </w:r>
      <w:r w:rsidRPr="00BB46A0">
        <w:t xml:space="preserve"> Fornece a justificativa para a intervenção estatal. Segundo Giambiagi &amp; Além (2011), o Estado intervém na economia para corrigir falhas de mercado e garantir a estabilização macroeconômica, a redistribuição de renda e a alocação eficiente de recursos. A Economia avalia o impacto macro e microeconômico gerado pelas decisões de gastos e receitas.</w:t>
      </w:r>
    </w:p>
    <w:p w14:paraId="4B0E0C7C" w14:textId="77777777" w:rsidR="00BB46A0" w:rsidRPr="00BB46A0" w:rsidRDefault="00BB46A0" w:rsidP="00BB46A0">
      <w:r w:rsidRPr="00BB46A0">
        <w:t>+--------------------------------------------------+</w:t>
      </w:r>
    </w:p>
    <w:p w14:paraId="7501D9F2" w14:textId="77777777" w:rsidR="00BB46A0" w:rsidRPr="00BB46A0" w:rsidRDefault="00BB46A0" w:rsidP="00BB46A0">
      <w:r w:rsidRPr="00BB46A0">
        <w:t>|            ADMINISTRAÇÃO PÚBLICA                 |</w:t>
      </w:r>
    </w:p>
    <w:p w14:paraId="6312FE24" w14:textId="77777777" w:rsidR="00BB46A0" w:rsidRPr="00BB46A0" w:rsidRDefault="00BB46A0" w:rsidP="00BB46A0">
      <w:r w:rsidRPr="00BB46A0">
        <w:t>|      (Planejamento, Gestão e Estratégia)         |</w:t>
      </w:r>
    </w:p>
    <w:p w14:paraId="6AAC9433" w14:textId="77777777" w:rsidR="00BB46A0" w:rsidRPr="00BB46A0" w:rsidRDefault="00BB46A0" w:rsidP="00BB46A0">
      <w:r w:rsidRPr="00BB46A0">
        <w:t>+--------------------------------------------------+</w:t>
      </w:r>
    </w:p>
    <w:p w14:paraId="79BE62A8" w14:textId="77777777" w:rsidR="00BB46A0" w:rsidRPr="00BB46A0" w:rsidRDefault="00BB46A0" w:rsidP="00BB46A0">
      <w:r w:rsidRPr="00BB46A0">
        <w:t xml:space="preserve">                        |</w:t>
      </w:r>
    </w:p>
    <w:p w14:paraId="17DBCA15" w14:textId="77777777" w:rsidR="00BB46A0" w:rsidRPr="00BB46A0" w:rsidRDefault="00BB46A0" w:rsidP="00BB46A0">
      <w:r w:rsidRPr="00BB46A0">
        <w:t xml:space="preserve">                        </w:t>
      </w:r>
      <w:r w:rsidRPr="00BB46A0">
        <w:rPr>
          <w:rFonts w:ascii="Arial" w:hAnsi="Arial" w:cs="Arial"/>
        </w:rPr>
        <w:t>▼</w:t>
      </w:r>
    </w:p>
    <w:p w14:paraId="65E455A1" w14:textId="77777777" w:rsidR="00BB46A0" w:rsidRPr="00BB46A0" w:rsidRDefault="00BB46A0" w:rsidP="00BB46A0">
      <w:r w:rsidRPr="00BB46A0">
        <w:t>+--------------------------------------------------+</w:t>
      </w:r>
    </w:p>
    <w:p w14:paraId="03B5DEB4" w14:textId="77777777" w:rsidR="00BB46A0" w:rsidRPr="00BB46A0" w:rsidRDefault="00BB46A0" w:rsidP="00BB46A0">
      <w:r w:rsidRPr="00BB46A0">
        <w:t>|           CONTABILIDADE PÚBLICA                  |</w:t>
      </w:r>
    </w:p>
    <w:p w14:paraId="732D515D" w14:textId="77777777" w:rsidR="00BB46A0" w:rsidRPr="00BB46A0" w:rsidRDefault="00BB46A0" w:rsidP="00BB46A0">
      <w:r w:rsidRPr="00BB46A0">
        <w:t>|    (Registro, Evidenciação e Transparência)      |</w:t>
      </w:r>
    </w:p>
    <w:p w14:paraId="2C9762E9" w14:textId="77777777" w:rsidR="00BB46A0" w:rsidRPr="00BB46A0" w:rsidRDefault="00BB46A0" w:rsidP="00BB46A0">
      <w:r w:rsidRPr="00BB46A0">
        <w:t>+--------------------------------------------------+</w:t>
      </w:r>
    </w:p>
    <w:p w14:paraId="46BA3D84" w14:textId="77777777" w:rsidR="00BB46A0" w:rsidRPr="00BB46A0" w:rsidRDefault="00BB46A0" w:rsidP="00BB46A0">
      <w:r w:rsidRPr="00BB46A0">
        <w:t xml:space="preserve">                        |</w:t>
      </w:r>
    </w:p>
    <w:p w14:paraId="71D6C59F" w14:textId="77777777" w:rsidR="00BB46A0" w:rsidRPr="00BB46A0" w:rsidRDefault="00BB46A0" w:rsidP="00BB46A0">
      <w:r w:rsidRPr="00BB46A0">
        <w:t xml:space="preserve">                        </w:t>
      </w:r>
      <w:r w:rsidRPr="00BB46A0">
        <w:rPr>
          <w:rFonts w:ascii="Arial" w:hAnsi="Arial" w:cs="Arial"/>
        </w:rPr>
        <w:t>▼</w:t>
      </w:r>
    </w:p>
    <w:p w14:paraId="57684857" w14:textId="77777777" w:rsidR="00BB46A0" w:rsidRPr="00BB46A0" w:rsidRDefault="00BB46A0" w:rsidP="00BB46A0">
      <w:r w:rsidRPr="00BB46A0">
        <w:t>+--------------------------------------------------+</w:t>
      </w:r>
    </w:p>
    <w:p w14:paraId="56AC1AE1" w14:textId="77777777" w:rsidR="00BB46A0" w:rsidRPr="00BB46A0" w:rsidRDefault="00BB46A0" w:rsidP="00BB46A0">
      <w:r w:rsidRPr="00BB46A0">
        <w:t>|             AUDITORIA PÚBLICA                    |</w:t>
      </w:r>
    </w:p>
    <w:p w14:paraId="23900B72" w14:textId="77777777" w:rsidR="00BB46A0" w:rsidRPr="00BB46A0" w:rsidRDefault="00BB46A0" w:rsidP="00BB46A0">
      <w:r w:rsidRPr="00BB46A0">
        <w:t>|     (Fiscalização, Controle e Eficiência)        |</w:t>
      </w:r>
    </w:p>
    <w:p w14:paraId="6813E8DB" w14:textId="77777777" w:rsidR="00BB46A0" w:rsidRPr="00BB46A0" w:rsidRDefault="00BB46A0" w:rsidP="00BB46A0">
      <w:r w:rsidRPr="00BB46A0">
        <w:t>+--------------------------------------------------+</w:t>
      </w:r>
    </w:p>
    <w:p w14:paraId="5ED90E98" w14:textId="77777777" w:rsidR="00BB46A0" w:rsidRPr="00BB46A0" w:rsidRDefault="00BB46A0" w:rsidP="00BB46A0">
      <w:r w:rsidRPr="00BB46A0">
        <w:t xml:space="preserve">                        |</w:t>
      </w:r>
    </w:p>
    <w:p w14:paraId="4811D2C8" w14:textId="77777777" w:rsidR="00BB46A0" w:rsidRPr="00BB46A0" w:rsidRDefault="00BB46A0" w:rsidP="00BB46A0">
      <w:r w:rsidRPr="00BB46A0">
        <w:t xml:space="preserve">                        </w:t>
      </w:r>
      <w:r w:rsidRPr="00BB46A0">
        <w:rPr>
          <w:rFonts w:ascii="Arial" w:hAnsi="Arial" w:cs="Arial"/>
        </w:rPr>
        <w:t>▼</w:t>
      </w:r>
    </w:p>
    <w:p w14:paraId="6ED01C45" w14:textId="77777777" w:rsidR="00BB46A0" w:rsidRPr="00BB46A0" w:rsidRDefault="00BB46A0" w:rsidP="00BB46A0">
      <w:r w:rsidRPr="00BB46A0">
        <w:lastRenderedPageBreak/>
        <w:t>+--------------------------------------------------+</w:t>
      </w:r>
    </w:p>
    <w:p w14:paraId="40D96632" w14:textId="77777777" w:rsidR="00BB46A0" w:rsidRPr="00BB46A0" w:rsidRDefault="00BB46A0" w:rsidP="00BB46A0">
      <w:r w:rsidRPr="00BB46A0">
        <w:t>|        ECONOMIA DO SETOR PÚBLICO                 |</w:t>
      </w:r>
    </w:p>
    <w:p w14:paraId="6F3271FD" w14:textId="77777777" w:rsidR="00BB46A0" w:rsidRPr="00BB46A0" w:rsidRDefault="00BB46A0" w:rsidP="00BB46A0">
      <w:r w:rsidRPr="00BB46A0">
        <w:t>| (Alocação, Distribuição, Estabilização e Impacto)|</w:t>
      </w:r>
    </w:p>
    <w:p w14:paraId="7D4BF157" w14:textId="77777777" w:rsidR="00BB46A0" w:rsidRPr="00BB46A0" w:rsidRDefault="00BB46A0" w:rsidP="00BB46A0">
      <w:r w:rsidRPr="00BB46A0">
        <w:t>+--------------------------------------------------+</w:t>
      </w:r>
    </w:p>
    <w:p w14:paraId="65768F50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Indicador Real e Correlação — Irlanda (2016–2024)</w:t>
      </w:r>
    </w:p>
    <w:p w14:paraId="1064E1E2" w14:textId="77777777" w:rsidR="00BB46A0" w:rsidRPr="00BB46A0" w:rsidRDefault="00BB46A0" w:rsidP="00BB46A0">
      <w:r w:rsidRPr="00BB46A0">
        <w:t>Para evidenciar empiricamente essa integração, utilizou-se a série histórica da Irlanda extraída do CSO (</w:t>
      </w:r>
      <w:proofErr w:type="spellStart"/>
      <w:r w:rsidRPr="00BB46A0">
        <w:rPr>
          <w:i/>
          <w:iCs/>
        </w:rPr>
        <w:t>Government</w:t>
      </w:r>
      <w:proofErr w:type="spellEnd"/>
      <w:r w:rsidRPr="00BB46A0">
        <w:rPr>
          <w:i/>
          <w:iCs/>
        </w:rPr>
        <w:t xml:space="preserve"> </w:t>
      </w:r>
      <w:proofErr w:type="spellStart"/>
      <w:r w:rsidRPr="00BB46A0">
        <w:rPr>
          <w:i/>
          <w:iCs/>
        </w:rPr>
        <w:t>Finance</w:t>
      </w:r>
      <w:proofErr w:type="spellEnd"/>
      <w:r w:rsidRPr="00BB46A0">
        <w:rPr>
          <w:i/>
          <w:iCs/>
        </w:rPr>
        <w:t xml:space="preserve"> </w:t>
      </w:r>
      <w:proofErr w:type="spellStart"/>
      <w:r w:rsidRPr="00BB46A0">
        <w:rPr>
          <w:i/>
          <w:iCs/>
        </w:rPr>
        <w:t>Statistics</w:t>
      </w:r>
      <w:proofErr w:type="spellEnd"/>
      <w:r w:rsidRPr="00BB46A0">
        <w:t>, abril/2025). A Contabilidade registrou o fluxo anual de Receitas e Despesas do Governo Geral. A Economia mensurou o PIB nominal do país no mesmo período. A relação entre a capacidade de geração de riqueza (PIB) e o tamanho do Estado (Despesas) demonstra como a decisão administrativa de gastar é limitada e orientada pelo desempenho econômico.</w:t>
      </w:r>
    </w:p>
    <w:p w14:paraId="093A4B36" w14:textId="77777777" w:rsidR="00BB46A0" w:rsidRPr="00BB46A0" w:rsidRDefault="00BB46A0" w:rsidP="00BB46A0">
      <w:r w:rsidRPr="00BB46A0">
        <w:rPr>
          <w:b/>
          <w:bCs/>
        </w:rPr>
        <w:t>Tabela de dados (fonte: CSO/Eurostat — valores nominais em €B)</w:t>
      </w:r>
    </w:p>
    <w:tbl>
      <w:tblPr>
        <w:tblW w:w="2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"/>
        <w:gridCol w:w="890"/>
        <w:gridCol w:w="1098"/>
      </w:tblGrid>
      <w:tr w:rsidR="00BB46A0" w:rsidRPr="00BB46A0" w14:paraId="64DCA7F4" w14:textId="77777777" w:rsidTr="00BB46A0">
        <w:trPr>
          <w:trHeight w:val="945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3F11F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61ED5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PIB (€B)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9B2C9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Despesa Total (€B)</w:t>
            </w:r>
          </w:p>
        </w:tc>
      </w:tr>
      <w:tr w:rsidR="00BB46A0" w:rsidRPr="00BB46A0" w14:paraId="6A350BC5" w14:textId="77777777" w:rsidTr="00BB46A0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41AC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4F82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255,6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197B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71,6</w:t>
            </w:r>
          </w:p>
        </w:tc>
      </w:tr>
      <w:tr w:rsidR="00BB46A0" w:rsidRPr="00BB46A0" w14:paraId="77B1A96E" w14:textId="77777777" w:rsidTr="00BB46A0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16D8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2C36F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331,4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03D7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77,9</w:t>
            </w:r>
          </w:p>
        </w:tc>
      </w:tr>
      <w:tr w:rsidR="00BB46A0" w:rsidRPr="00BB46A0" w14:paraId="642949C7" w14:textId="77777777" w:rsidTr="00BB46A0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DE68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2D0B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379,7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D00EC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83,2</w:t>
            </w:r>
          </w:p>
        </w:tc>
      </w:tr>
      <w:tr w:rsidR="00BB46A0" w:rsidRPr="00BB46A0" w14:paraId="49E34160" w14:textId="77777777" w:rsidTr="00BB46A0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054A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C39B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363,7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F4AB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85,8</w:t>
            </w:r>
          </w:p>
        </w:tc>
      </w:tr>
      <w:tr w:rsidR="00BB46A0" w:rsidRPr="00BB46A0" w14:paraId="7223E0BE" w14:textId="77777777" w:rsidTr="00BB46A0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FDE5C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24B2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382,2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93DC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105,8</w:t>
            </w:r>
          </w:p>
        </w:tc>
      </w:tr>
      <w:tr w:rsidR="00BB46A0" w:rsidRPr="00BB46A0" w14:paraId="113ECD8B" w14:textId="77777777" w:rsidTr="00BB46A0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1D6F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11BB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449,2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0649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105</w:t>
            </w:r>
          </w:p>
        </w:tc>
      </w:tr>
      <w:tr w:rsidR="00BB46A0" w:rsidRPr="00BB46A0" w14:paraId="648E61A0" w14:textId="77777777" w:rsidTr="00BB46A0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0102F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9A7E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504,3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A1D3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107,5</w:t>
            </w:r>
          </w:p>
        </w:tc>
      </w:tr>
      <w:tr w:rsidR="00BB46A0" w:rsidRPr="00BB46A0" w14:paraId="6A0B3838" w14:textId="77777777" w:rsidTr="00BB46A0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10E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8C58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533,2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ECFEC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115,9</w:t>
            </w:r>
          </w:p>
        </w:tc>
      </w:tr>
      <w:tr w:rsidR="00BB46A0" w:rsidRPr="00BB46A0" w14:paraId="49321DBF" w14:textId="77777777" w:rsidTr="00BB46A0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8B1F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0CAC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534,4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FA03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125,1</w:t>
            </w:r>
          </w:p>
        </w:tc>
      </w:tr>
    </w:tbl>
    <w:p w14:paraId="396E78CE" w14:textId="77777777" w:rsidR="00BB46A0" w:rsidRDefault="00BB46A0" w:rsidP="00BB46A0">
      <w:pPr>
        <w:rPr>
          <w:b/>
          <w:bCs/>
        </w:rPr>
      </w:pPr>
    </w:p>
    <w:p w14:paraId="1F2F4E6B" w14:textId="22ABF1F8" w:rsidR="00BB46A0" w:rsidRPr="00BB46A0" w:rsidRDefault="00BB46A0" w:rsidP="00BB46A0">
      <w:r w:rsidRPr="00BB46A0">
        <w:rPr>
          <w:b/>
          <w:bCs/>
        </w:rPr>
        <w:t>Coeficiente de Correlação de Pearson (r) calculado: r = 0,940</w:t>
      </w:r>
    </w:p>
    <w:p w14:paraId="74E014BE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Análise Crítica</w:t>
      </w:r>
    </w:p>
    <w:p w14:paraId="5388ADDD" w14:textId="77777777" w:rsidR="00BB46A0" w:rsidRPr="00BB46A0" w:rsidRDefault="00BB46A0" w:rsidP="00BB46A0">
      <w:r w:rsidRPr="00BB46A0">
        <w:t xml:space="preserve">A correlação de r = 0,94 indica uma associação positiva muito forte entre o PIB e a Despesa pública irlandesa. Contudo, é metodologicamente imprescindível registrar uma ressalva: séries temporais que crescem ao longo do tempo tendem a produzir correlações elevadas simplesmente pela tendência comum — fenômeno conhecido como correlação espúria. Portanto, esse coeficiente deve ser interpretado como evidência descritiva de </w:t>
      </w:r>
      <w:proofErr w:type="spellStart"/>
      <w:r w:rsidRPr="00BB46A0">
        <w:t>co-movimento</w:t>
      </w:r>
      <w:proofErr w:type="spellEnd"/>
      <w:r w:rsidRPr="00BB46A0">
        <w:t>, e não como prova de causalidade estrutural.</w:t>
      </w:r>
    </w:p>
    <w:p w14:paraId="3D82E667" w14:textId="77777777" w:rsidR="00BB46A0" w:rsidRPr="00BB46A0" w:rsidRDefault="00BB46A0" w:rsidP="00BB46A0">
      <w:r w:rsidRPr="00BB46A0">
        <w:lastRenderedPageBreak/>
        <w:t>Feita essa ressalva, três conclusões analíticas emergem da integração entre as quatro áreas:</w:t>
      </w:r>
    </w:p>
    <w:p w14:paraId="61CDE591" w14:textId="77777777" w:rsidR="00BB46A0" w:rsidRPr="00BB46A0" w:rsidRDefault="00BB46A0" w:rsidP="00BB46A0">
      <w:r w:rsidRPr="00BB46A0">
        <w:rPr>
          <w:b/>
          <w:bCs/>
        </w:rPr>
        <w:t>1. A engrenagem Contabilidade–Economia:</w:t>
      </w:r>
      <w:r w:rsidRPr="00BB46A0">
        <w:t xml:space="preserve"> A contabilidade pública da Irlanda reflete uma política econômica de acompanhamento do crescimento. À medida que o PIB se expandiu — impulsionado pela atração de multinacionais de tecnologia e farmacêuticas via regime fiscal favorável, o chamado "Modelo Irlandês" —, a arrecadação tributária expandiu-se proporcionalmente, evidenciando a sensibilidade da receita ao ciclo econômico.</w:t>
      </w:r>
    </w:p>
    <w:p w14:paraId="32ECD7F3" w14:textId="77777777" w:rsidR="00BB46A0" w:rsidRPr="00BB46A0" w:rsidRDefault="00BB46A0" w:rsidP="00BB46A0">
      <w:r w:rsidRPr="00BB46A0">
        <w:rPr>
          <w:b/>
          <w:bCs/>
        </w:rPr>
        <w:t>2. A restrição da Administração Pública:</w:t>
      </w:r>
      <w:r w:rsidRPr="00BB46A0">
        <w:t xml:space="preserve"> O expressivo crescimento do PIB permitiu que a Administração Pública elevasse as Despesas Reais sem gerar descontrole fiscal de longo prazo. Em vez de incorrer em déficits crônicos, o governo gerou superávits robustos na maior parte da série histórica após 2021, com exceção do choque pandêmico de 2020.</w:t>
      </w:r>
    </w:p>
    <w:p w14:paraId="43254AD0" w14:textId="77777777" w:rsidR="00BB46A0" w:rsidRPr="00BB46A0" w:rsidRDefault="00BB46A0" w:rsidP="00BB46A0">
      <w:r w:rsidRPr="00BB46A0">
        <w:rPr>
          <w:b/>
          <w:bCs/>
        </w:rPr>
        <w:t>3. O papel da Auditoria e da Governança:</w:t>
      </w:r>
      <w:r w:rsidRPr="00BB46A0">
        <w:t xml:space="preserve"> O controle e o monitoramento dessas contas garantem que o extraordinário crescimento do PIB nominal — muitas vezes distorcido pela presença de sedes fiscais de multinacionais, o chamado </w:t>
      </w:r>
      <w:proofErr w:type="spellStart"/>
      <w:r w:rsidRPr="00BB46A0">
        <w:rPr>
          <w:i/>
          <w:iCs/>
        </w:rPr>
        <w:t>Leprechaun</w:t>
      </w:r>
      <w:proofErr w:type="spellEnd"/>
      <w:r w:rsidRPr="00BB46A0">
        <w:rPr>
          <w:i/>
          <w:iCs/>
        </w:rPr>
        <w:t xml:space="preserve"> </w:t>
      </w:r>
      <w:proofErr w:type="spellStart"/>
      <w:r w:rsidRPr="00BB46A0">
        <w:rPr>
          <w:i/>
          <w:iCs/>
        </w:rPr>
        <w:t>Economics</w:t>
      </w:r>
      <w:proofErr w:type="spellEnd"/>
      <w:r w:rsidRPr="00BB46A0">
        <w:t xml:space="preserve"> — seja devidamente ajustado para que os gestores planejem despesas estruturais reais e sustentáveis, evitando o colapso dos serviços públicos e mitigando o risco de crises fiscais futuras. O próprio governo irlandês passou a adotar o GNI* (Rendimento Nacional Bruto Modificado) como indicador complementar ao PIB exatamente para contornar essa distorção estatística.</w:t>
      </w:r>
    </w:p>
    <w:p w14:paraId="08B3D69F" w14:textId="77777777" w:rsidR="00BB46A0" w:rsidRPr="00BB46A0" w:rsidRDefault="00000000" w:rsidP="00BB46A0">
      <w:r>
        <w:pict w14:anchorId="0AC5D362">
          <v:rect id="_x0000_i1029" style="width:0;height:1.5pt" o:hralign="center" o:hrstd="t" o:hr="t" fillcolor="#a0a0a0" stroked="f"/>
        </w:pict>
      </w:r>
    </w:p>
    <w:p w14:paraId="38F86C90" w14:textId="63931BD2" w:rsidR="00BD4068" w:rsidRDefault="00BD4068" w:rsidP="00BB46A0">
      <w:pPr>
        <w:rPr>
          <w:b/>
          <w:bCs/>
        </w:rPr>
      </w:pPr>
      <w:r w:rsidRPr="00BD4068">
        <w:rPr>
          <w:b/>
          <w:bCs/>
        </w:rPr>
        <w:t>2) A partir do país atribuído, descreva e analise com base nos conceitos de (i) forma de Estado; (</w:t>
      </w:r>
      <w:proofErr w:type="spellStart"/>
      <w:r w:rsidRPr="00BD4068">
        <w:rPr>
          <w:b/>
          <w:bCs/>
        </w:rPr>
        <w:t>ii</w:t>
      </w:r>
      <w:proofErr w:type="spellEnd"/>
      <w:r w:rsidRPr="00BD4068">
        <w:rPr>
          <w:b/>
          <w:bCs/>
        </w:rPr>
        <w:t>) forma de governo; (</w:t>
      </w:r>
      <w:proofErr w:type="spellStart"/>
      <w:r w:rsidRPr="00BD4068">
        <w:rPr>
          <w:b/>
          <w:bCs/>
        </w:rPr>
        <w:t>iii</w:t>
      </w:r>
      <w:proofErr w:type="spellEnd"/>
      <w:r w:rsidRPr="00BD4068">
        <w:rPr>
          <w:b/>
          <w:bCs/>
        </w:rPr>
        <w:t>) regime de governo; (</w:t>
      </w:r>
      <w:proofErr w:type="spellStart"/>
      <w:r w:rsidRPr="00BD4068">
        <w:rPr>
          <w:b/>
          <w:bCs/>
        </w:rPr>
        <w:t>iv</w:t>
      </w:r>
      <w:proofErr w:type="spellEnd"/>
      <w:r w:rsidRPr="00BD4068">
        <w:rPr>
          <w:b/>
          <w:bCs/>
        </w:rPr>
        <w:t>) sistema de governo; e em seguida, explique como essas características influenciam o financiamento e a gestão das políticas públicas do país. (10 anos, gráfico e análise). Inclua pelo menos um indicador empírico que evidencie esse impacto.</w:t>
      </w:r>
    </w:p>
    <w:p w14:paraId="763D490E" w14:textId="57D8F33E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Questão 2 — Estrutura Político-Constitucional da Irlanda e Impacto nas Finanças Públicas</w:t>
      </w:r>
    </w:p>
    <w:p w14:paraId="2828A03D" w14:textId="77777777" w:rsidR="00BB46A0" w:rsidRPr="00BB46A0" w:rsidRDefault="00BB46A0" w:rsidP="00BB46A0">
      <w:r w:rsidRPr="00BB46A0">
        <w:t>Para compreender a dinâmica das finanças públicas da Irlanda, é fundamental analisar sua estrutura político-constitucional com base em quatro conceitos clássicos da teoria do Estado.</w:t>
      </w:r>
    </w:p>
    <w:p w14:paraId="39980B45" w14:textId="77777777" w:rsidR="00BB46A0" w:rsidRPr="00BB46A0" w:rsidRDefault="00BB46A0" w:rsidP="00BB46A0">
      <w:r w:rsidRPr="00BB46A0">
        <w:rPr>
          <w:b/>
          <w:bCs/>
        </w:rPr>
        <w:t>Forma de Estado: Estado Unitário.</w:t>
      </w:r>
      <w:r w:rsidRPr="00BB46A0">
        <w:t xml:space="preserve"> Ao contrário do modelo federativo do Brasil — que distribui competência tributária e legislativa entre União, Estados e Municípios —, a Irlanda possui um governo centralizado em Dublin. O poder </w:t>
      </w:r>
      <w:r w:rsidRPr="00BB46A0">
        <w:lastRenderedPageBreak/>
        <w:t>político emana do parlamento nacional, e os governos locais (</w:t>
      </w:r>
      <w:r w:rsidRPr="00BB46A0">
        <w:rPr>
          <w:i/>
          <w:iCs/>
        </w:rPr>
        <w:t xml:space="preserve">local </w:t>
      </w:r>
      <w:proofErr w:type="spellStart"/>
      <w:r w:rsidRPr="00BB46A0">
        <w:rPr>
          <w:i/>
          <w:iCs/>
        </w:rPr>
        <w:t>authorities</w:t>
      </w:r>
      <w:proofErr w:type="spellEnd"/>
      <w:r w:rsidRPr="00BB46A0">
        <w:t xml:space="preserve"> ou </w:t>
      </w:r>
      <w:proofErr w:type="spellStart"/>
      <w:r w:rsidRPr="00BB46A0">
        <w:rPr>
          <w:i/>
          <w:iCs/>
        </w:rPr>
        <w:t>county</w:t>
      </w:r>
      <w:proofErr w:type="spellEnd"/>
      <w:r w:rsidRPr="00BB46A0">
        <w:rPr>
          <w:i/>
          <w:iCs/>
        </w:rPr>
        <w:t xml:space="preserve"> </w:t>
      </w:r>
      <w:proofErr w:type="spellStart"/>
      <w:r w:rsidRPr="00BB46A0">
        <w:rPr>
          <w:i/>
          <w:iCs/>
        </w:rPr>
        <w:t>councils</w:t>
      </w:r>
      <w:proofErr w:type="spellEnd"/>
      <w:r w:rsidRPr="00BB46A0">
        <w:t>) possuem funções estritamente administrativas delegadas pelo centro, sem autonomia constitucional para criar tributos de relevância macroeconômica.</w:t>
      </w:r>
    </w:p>
    <w:p w14:paraId="18F51802" w14:textId="77777777" w:rsidR="00BB46A0" w:rsidRPr="00BB46A0" w:rsidRDefault="00BB46A0" w:rsidP="00BB46A0">
      <w:r w:rsidRPr="00BB46A0">
        <w:rPr>
          <w:b/>
          <w:bCs/>
        </w:rPr>
        <w:t>Forma de Governo: República.</w:t>
      </w:r>
      <w:r w:rsidRPr="00BB46A0">
        <w:t xml:space="preserve"> O chefe de Estado é o Presidente da República (</w:t>
      </w:r>
      <w:proofErr w:type="spellStart"/>
      <w:r w:rsidRPr="00BB46A0">
        <w:rPr>
          <w:i/>
          <w:iCs/>
        </w:rPr>
        <w:t>Uachtarán</w:t>
      </w:r>
      <w:proofErr w:type="spellEnd"/>
      <w:r w:rsidRPr="00BB46A0">
        <w:rPr>
          <w:i/>
          <w:iCs/>
        </w:rPr>
        <w:t xml:space="preserve"> na </w:t>
      </w:r>
      <w:proofErr w:type="spellStart"/>
      <w:r w:rsidRPr="00BB46A0">
        <w:rPr>
          <w:i/>
          <w:iCs/>
        </w:rPr>
        <w:t>hÉireann</w:t>
      </w:r>
      <w:proofErr w:type="spellEnd"/>
      <w:r w:rsidRPr="00BB46A0">
        <w:t>), eleito de forma direta para mandatos de sete anos, desempenhando um papel majoritariamente representativo e de salvaguarda constitucional.</w:t>
      </w:r>
    </w:p>
    <w:p w14:paraId="0DA6B236" w14:textId="77777777" w:rsidR="00BB46A0" w:rsidRPr="00BB46A0" w:rsidRDefault="00BB46A0" w:rsidP="00BB46A0">
      <w:r w:rsidRPr="00BB46A0">
        <w:rPr>
          <w:b/>
          <w:bCs/>
        </w:rPr>
        <w:t>Regime de Governo: Democracia Representativa Parlamentar.</w:t>
      </w:r>
      <w:r w:rsidRPr="00BB46A0">
        <w:t xml:space="preserve"> Os direitos civis, políticos e a livre escolha dos representantes legislativos são assegurados pela Constituição (</w:t>
      </w:r>
      <w:proofErr w:type="spellStart"/>
      <w:r w:rsidRPr="00BB46A0">
        <w:rPr>
          <w:i/>
          <w:iCs/>
        </w:rPr>
        <w:t>Bunreacht</w:t>
      </w:r>
      <w:proofErr w:type="spellEnd"/>
      <w:r w:rsidRPr="00BB46A0">
        <w:rPr>
          <w:i/>
          <w:iCs/>
        </w:rPr>
        <w:t xml:space="preserve"> na </w:t>
      </w:r>
      <w:proofErr w:type="spellStart"/>
      <w:r w:rsidRPr="00BB46A0">
        <w:rPr>
          <w:i/>
          <w:iCs/>
        </w:rPr>
        <w:t>hÉireann</w:t>
      </w:r>
      <w:proofErr w:type="spellEnd"/>
      <w:r w:rsidRPr="00BB46A0">
        <w:t>).</w:t>
      </w:r>
    </w:p>
    <w:p w14:paraId="4F0F7EE8" w14:textId="77777777" w:rsidR="00BB46A0" w:rsidRPr="00BB46A0" w:rsidRDefault="00BB46A0" w:rsidP="00BB46A0">
      <w:r w:rsidRPr="00BB46A0">
        <w:rPr>
          <w:b/>
          <w:bCs/>
        </w:rPr>
        <w:t>Sistema de Governo: Parlamentarismo.</w:t>
      </w:r>
      <w:r w:rsidRPr="00BB46A0">
        <w:t xml:space="preserve"> O poder executivo real é exercido pelo Primeiro-Ministro (</w:t>
      </w:r>
      <w:proofErr w:type="spellStart"/>
      <w:r w:rsidRPr="00BB46A0">
        <w:rPr>
          <w:i/>
          <w:iCs/>
        </w:rPr>
        <w:t>Taoiseach</w:t>
      </w:r>
      <w:proofErr w:type="spellEnd"/>
      <w:r w:rsidRPr="00BB46A0">
        <w:t xml:space="preserve">), que é o chefe de governo. O </w:t>
      </w:r>
      <w:proofErr w:type="spellStart"/>
      <w:r w:rsidRPr="00BB46A0">
        <w:rPr>
          <w:i/>
          <w:iCs/>
        </w:rPr>
        <w:t>Taoiseach</w:t>
      </w:r>
      <w:proofErr w:type="spellEnd"/>
      <w:r w:rsidRPr="00BB46A0">
        <w:t xml:space="preserve"> é indicado pelo parlamento nacional (</w:t>
      </w:r>
      <w:proofErr w:type="spellStart"/>
      <w:r w:rsidRPr="00BB46A0">
        <w:rPr>
          <w:i/>
          <w:iCs/>
        </w:rPr>
        <w:t>Dáil</w:t>
      </w:r>
      <w:proofErr w:type="spellEnd"/>
      <w:r w:rsidRPr="00BB46A0">
        <w:rPr>
          <w:i/>
          <w:iCs/>
        </w:rPr>
        <w:t xml:space="preserve"> </w:t>
      </w:r>
      <w:proofErr w:type="spellStart"/>
      <w:r w:rsidRPr="00BB46A0">
        <w:rPr>
          <w:i/>
          <w:iCs/>
        </w:rPr>
        <w:t>Éireann</w:t>
      </w:r>
      <w:proofErr w:type="spellEnd"/>
      <w:r w:rsidRPr="00BB46A0">
        <w:t>) e depende diretamente da manutenção da confiança da maioria legislativa para governar.</w:t>
      </w:r>
    </w:p>
    <w:p w14:paraId="20847A73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A) Centralização Fiscal Absoluta (decorrente do Estado Unitário)</w:t>
      </w:r>
    </w:p>
    <w:p w14:paraId="155A6466" w14:textId="77777777" w:rsidR="00BB46A0" w:rsidRPr="00BB46A0" w:rsidRDefault="00BB46A0" w:rsidP="00BB46A0">
      <w:r w:rsidRPr="00BB46A0">
        <w:t>No Estado Unitário irlandês, a autoridade tributária está concentrada no parlamento nacional. Tributos de alta elasticidade e volume — como o Imposto sobre Sociedades (</w:t>
      </w:r>
      <w:r w:rsidRPr="00BB46A0">
        <w:rPr>
          <w:i/>
          <w:iCs/>
        </w:rPr>
        <w:t xml:space="preserve">Corporation </w:t>
      </w:r>
      <w:proofErr w:type="spellStart"/>
      <w:r w:rsidRPr="00BB46A0">
        <w:rPr>
          <w:i/>
          <w:iCs/>
        </w:rPr>
        <w:t>Tax</w:t>
      </w:r>
      <w:proofErr w:type="spellEnd"/>
      <w:r w:rsidRPr="00BB46A0">
        <w:t>), o Imposto sobre a Renda (</w:t>
      </w:r>
      <w:r w:rsidRPr="00BB46A0">
        <w:rPr>
          <w:i/>
          <w:iCs/>
        </w:rPr>
        <w:t xml:space="preserve">Income </w:t>
      </w:r>
      <w:proofErr w:type="spellStart"/>
      <w:r w:rsidRPr="00BB46A0">
        <w:rPr>
          <w:i/>
          <w:iCs/>
        </w:rPr>
        <w:t>Tax</w:t>
      </w:r>
      <w:proofErr w:type="spellEnd"/>
      <w:r w:rsidRPr="00BB46A0">
        <w:t>) e o IVA (</w:t>
      </w:r>
      <w:r w:rsidRPr="00BB46A0">
        <w:rPr>
          <w:i/>
          <w:iCs/>
        </w:rPr>
        <w:t>VAT</w:t>
      </w:r>
      <w:r w:rsidRPr="00BB46A0">
        <w:t>) — são arrecadados de forma centralizada pelo governo nacional. Os governos locais financiam-se por meio de transferências do governo central e de taxas locais muito específicas (como taxas comerciais e o imposto sobre a propriedade residencial). Isso gera alta homogeneidade na aplicação das políticas públicas em todo o território nacional, mas retira das regiões a flexibilidade de adaptar o financiamento a realidades locais.</w:t>
      </w:r>
    </w:p>
    <w:p w14:paraId="47CA4FA2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B) Previsibilidade Orçamentária e Coesão de Coalizão (decorrente do Parlamentarismo)</w:t>
      </w:r>
    </w:p>
    <w:p w14:paraId="375DC4A1" w14:textId="77777777" w:rsidR="00BB46A0" w:rsidRPr="00BB46A0" w:rsidRDefault="00BB46A0" w:rsidP="00BB46A0">
      <w:r w:rsidRPr="00BB46A0">
        <w:t>No parlamentarismo, a apresentação e a aprovação do orçamento anual é um teste de sobrevivência do governo. Se o orçamento proposto pelo gabinete for rejeitado, o governo cai e novas eleições são convocadas. Portanto, a elaboração orçamentária é um processo altamente cooperativo entre os partidos da coligação governamental e o Ministério das Finanças. Esse desenho institucional reduz a volatilidade de impasses legislativos e gera forte previsibilidade de longo prazo para o financiamento de áreas prioritárias como infraestrutura, saúde e educação.</w:t>
      </w:r>
    </w:p>
    <w:p w14:paraId="234D38F8" w14:textId="77777777" w:rsidR="00BB46A0" w:rsidRDefault="00BB46A0" w:rsidP="00BB46A0">
      <w:pPr>
        <w:rPr>
          <w:b/>
          <w:bCs/>
        </w:rPr>
      </w:pPr>
      <w:r w:rsidRPr="00BB46A0">
        <w:rPr>
          <w:b/>
          <w:bCs/>
        </w:rPr>
        <w:t>Indicador Empírico — Saldo do Governo Geral (2016–2025)</w:t>
      </w:r>
    </w:p>
    <w:p w14:paraId="18F445A9" w14:textId="4590DC54" w:rsidR="007D2ACE" w:rsidRPr="00BB46A0" w:rsidRDefault="007D2ACE" w:rsidP="00BB46A0">
      <w:pPr>
        <w:rPr>
          <w:b/>
          <w:bCs/>
        </w:rPr>
      </w:pPr>
    </w:p>
    <w:p w14:paraId="648F4BD2" w14:textId="77777777" w:rsidR="00BB46A0" w:rsidRPr="00BB46A0" w:rsidRDefault="00BB46A0" w:rsidP="00BB46A0">
      <w:r w:rsidRPr="00BB46A0">
        <w:rPr>
          <w:b/>
          <w:bCs/>
        </w:rPr>
        <w:lastRenderedPageBreak/>
        <w:t>Tabela de Saldos Reais Consolidados da Irlanda (fonte: CSO, abril/2025)</w:t>
      </w:r>
    </w:p>
    <w:tbl>
      <w:tblPr>
        <w:tblW w:w="5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3"/>
        <w:gridCol w:w="832"/>
        <w:gridCol w:w="973"/>
        <w:gridCol w:w="1098"/>
        <w:gridCol w:w="1256"/>
        <w:gridCol w:w="902"/>
      </w:tblGrid>
      <w:tr w:rsidR="00BB46A0" w:rsidRPr="00BB46A0" w14:paraId="1E705971" w14:textId="77777777" w:rsidTr="00BB46A0">
        <w:trPr>
          <w:trHeight w:val="945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2DBA7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17785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PIB (€B)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3320F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Receita (€B)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45652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Despesa (€B)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05EC8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Resultado (€B)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0F413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Saldo % PIB</w:t>
            </w:r>
          </w:p>
        </w:tc>
      </w:tr>
      <w:tr w:rsidR="00BB46A0" w:rsidRPr="00BB46A0" w14:paraId="5F203E4C" w14:textId="77777777" w:rsidTr="00BB46A0">
        <w:trPr>
          <w:trHeight w:val="315"/>
        </w:trPr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4040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BD21F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255,6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8A49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68,8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FDB1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71,6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3388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−2,8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6E65D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−1,1%</w:t>
            </w:r>
          </w:p>
        </w:tc>
      </w:tr>
      <w:tr w:rsidR="00BB46A0" w:rsidRPr="00BB46A0" w14:paraId="7E9044E3" w14:textId="77777777" w:rsidTr="00BB46A0">
        <w:trPr>
          <w:trHeight w:val="315"/>
        </w:trPr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2D28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2AA7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331,4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20D4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76,7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3BD7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77,9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8A7A5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−1,2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432DE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−0,4%</w:t>
            </w:r>
          </w:p>
        </w:tc>
      </w:tr>
      <w:tr w:rsidR="00BB46A0" w:rsidRPr="00BB46A0" w14:paraId="0A21A389" w14:textId="77777777" w:rsidTr="00BB46A0">
        <w:trPr>
          <w:trHeight w:val="315"/>
        </w:trPr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FBB4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0E56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379,7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E042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83,5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119B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83,2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35B8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AA3FC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0,10%</w:t>
            </w:r>
          </w:p>
        </w:tc>
      </w:tr>
      <w:tr w:rsidR="00BB46A0" w:rsidRPr="00BB46A0" w14:paraId="7FD4BCA9" w14:textId="77777777" w:rsidTr="00BB46A0">
        <w:trPr>
          <w:trHeight w:val="315"/>
        </w:trPr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B7FF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8B4E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363,7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0755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87,3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203F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85,8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DE1A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6D13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0,40%</w:t>
            </w:r>
          </w:p>
        </w:tc>
      </w:tr>
      <w:tr w:rsidR="00BB46A0" w:rsidRPr="00BB46A0" w14:paraId="0A552698" w14:textId="77777777" w:rsidTr="00BB46A0">
        <w:trPr>
          <w:trHeight w:val="315"/>
        </w:trPr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69A8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20B1F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382,2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1904F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87,2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9FDB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105,8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644B8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−18,6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72362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−4,9%</w:t>
            </w:r>
          </w:p>
        </w:tc>
      </w:tr>
      <w:tr w:rsidR="00BB46A0" w:rsidRPr="00BB46A0" w14:paraId="2B314B35" w14:textId="77777777" w:rsidTr="00BB46A0">
        <w:trPr>
          <w:trHeight w:val="315"/>
        </w:trPr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64D5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1DE5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449,2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AAFD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98,9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923A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96EE5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−6,1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02DFF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−1,4%</w:t>
            </w:r>
          </w:p>
        </w:tc>
      </w:tr>
      <w:tr w:rsidR="00BB46A0" w:rsidRPr="00BB46A0" w14:paraId="76CD957A" w14:textId="77777777" w:rsidTr="00BB46A0">
        <w:trPr>
          <w:trHeight w:val="315"/>
        </w:trPr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EF33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653D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504,3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B091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115,5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7A03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107,5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A9CC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C36C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1,60%</w:t>
            </w:r>
          </w:p>
        </w:tc>
      </w:tr>
      <w:tr w:rsidR="00BB46A0" w:rsidRPr="00BB46A0" w14:paraId="0EC7D765" w14:textId="77777777" w:rsidTr="00BB46A0">
        <w:trPr>
          <w:trHeight w:val="315"/>
        </w:trPr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C63D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E954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533,2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0C54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123,8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C95B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115,9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7BF5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7,9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3E86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1,50%</w:t>
            </w:r>
          </w:p>
        </w:tc>
      </w:tr>
      <w:tr w:rsidR="00BB46A0" w:rsidRPr="00BB46A0" w14:paraId="4A72B5D8" w14:textId="77777777" w:rsidTr="00BB46A0">
        <w:trPr>
          <w:trHeight w:val="315"/>
        </w:trPr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EE99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47D5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534,4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9DFA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148,3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6E4F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125,1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A878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23,2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E684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4,30%</w:t>
            </w:r>
          </w:p>
        </w:tc>
      </w:tr>
      <w:tr w:rsidR="00BB46A0" w:rsidRPr="00BB46A0" w14:paraId="2060A243" w14:textId="77777777" w:rsidTr="00BB46A0">
        <w:trPr>
          <w:trHeight w:val="315"/>
        </w:trPr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701B4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2025*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90EE3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590,1*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CF2A8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149,5*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5E8DA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133,9*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2DA86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+15,6*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0CAA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+1,8%*</w:t>
            </w:r>
          </w:p>
        </w:tc>
      </w:tr>
    </w:tbl>
    <w:p w14:paraId="17E74F82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Análise Crítica dos Dados</w:t>
      </w:r>
    </w:p>
    <w:p w14:paraId="1FE1DB56" w14:textId="77777777" w:rsidR="00BB46A0" w:rsidRPr="00BB46A0" w:rsidRDefault="00BB46A0" w:rsidP="00BB46A0">
      <w:r w:rsidRPr="00BB46A0">
        <w:rPr>
          <w:b/>
          <w:bCs/>
        </w:rPr>
        <w:t>1. O choque de 2020 (Pandemia):</w:t>
      </w:r>
      <w:r w:rsidRPr="00BB46A0">
        <w:t xml:space="preserve"> O parlamentarismo irlandês permitiu rápida coordenação política para a aprovação do maior pacote de despesas da história do país. A despesa saltou de €85,8B (2019) para €105,8B (2020). Em um Estado Unitário, esse impacto foi centralizado no caixa soberano de Dublin, evitando o colapso financeiro nos governos locais e resultando em um déficit temporário de 4,9% do PIB.</w:t>
      </w:r>
    </w:p>
    <w:p w14:paraId="36A8330E" w14:textId="77777777" w:rsidR="00BB46A0" w:rsidRPr="00BB46A0" w:rsidRDefault="00BB46A0" w:rsidP="00BB46A0">
      <w:r w:rsidRPr="00BB46A0">
        <w:rPr>
          <w:b/>
          <w:bCs/>
        </w:rPr>
        <w:t>2. O "Fenômeno Corporativo" de 2022–2024:</w:t>
      </w:r>
      <w:r w:rsidRPr="00BB46A0">
        <w:t xml:space="preserve"> A partir de 2022, a arrecadação expandiu-se de forma acelerada, culminando em receita de €148,3B em 2024 — impulsionada pelo aporte de €14,2B oriundo do julgamento da União Europeia sobre a Apple — gerando superávit recorde de 4,3% do PIB.</w:t>
      </w:r>
    </w:p>
    <w:p w14:paraId="6DBB7E7E" w14:textId="77777777" w:rsidR="00BB46A0" w:rsidRPr="00BB46A0" w:rsidRDefault="00BB46A0" w:rsidP="00BB46A0">
      <w:r w:rsidRPr="00BB46A0">
        <w:rPr>
          <w:b/>
          <w:bCs/>
        </w:rPr>
        <w:t>3. Implicação Crítica — Volatilidade e GNI*:</w:t>
      </w:r>
      <w:r w:rsidRPr="00BB46A0">
        <w:t xml:space="preserve"> Embora a centralização fiscal confira robustez, a base tributária irlandesa depende fortemente do imposto corporativo pago por um pequeno número de multinacionais. O próprio CSO introduziu o GNI* como indicador alternativo ao PIB justamente para isolar essa distorção: em 2023, o PIB nominal foi de €533,2B, mas o GNI* foi de apenas €246,3B — diferença de mais de 100%. Qualquer análise fiscal da Irlanda deve considerar essa dualidade.</w:t>
      </w:r>
    </w:p>
    <w:p w14:paraId="4CF0A2E1" w14:textId="77777777" w:rsidR="00BB46A0" w:rsidRPr="00BB46A0" w:rsidRDefault="00000000" w:rsidP="00BB46A0">
      <w:r>
        <w:pict w14:anchorId="624B0DAC">
          <v:rect id="_x0000_i1030" style="width:0;height:1.5pt" o:hralign="center" o:hrstd="t" o:hr="t" fillcolor="#a0a0a0" stroked="f"/>
        </w:pict>
      </w:r>
    </w:p>
    <w:p w14:paraId="07482F17" w14:textId="04A0057B" w:rsidR="00BD4068" w:rsidRDefault="00BD4068" w:rsidP="00BB46A0">
      <w:pPr>
        <w:rPr>
          <w:b/>
          <w:bCs/>
        </w:rPr>
      </w:pPr>
      <w:r w:rsidRPr="00BD4068">
        <w:rPr>
          <w:b/>
          <w:bCs/>
        </w:rPr>
        <w:t>3) Analise a composição da receita municipal com gráfico e evolução temporal.</w:t>
      </w:r>
    </w:p>
    <w:p w14:paraId="46A57C5C" w14:textId="7DFA52D2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Questão 3 — Composição da Receita Municipal: Análise com Evolução Temporal</w:t>
      </w:r>
    </w:p>
    <w:p w14:paraId="55A0C178" w14:textId="77777777" w:rsidR="00BB46A0" w:rsidRPr="00BB46A0" w:rsidRDefault="00BB46A0" w:rsidP="00BB46A0">
      <w:r w:rsidRPr="00BB46A0">
        <w:lastRenderedPageBreak/>
        <w:t xml:space="preserve">A análise dos dados financeiros de Eirunepé e Lábrea (fonte: </w:t>
      </w:r>
      <w:proofErr w:type="spellStart"/>
      <w:r w:rsidRPr="00BB46A0">
        <w:t>Siconfi</w:t>
      </w:r>
      <w:proofErr w:type="spellEnd"/>
      <w:r w:rsidRPr="00BB46A0">
        <w:t>/STN) revela um crescimento nominal significativo das receitas totais ao longo do período observado.</w:t>
      </w:r>
    </w:p>
    <w:p w14:paraId="132AEF97" w14:textId="77777777" w:rsidR="00BB46A0" w:rsidRPr="00BB46A0" w:rsidRDefault="00BB46A0" w:rsidP="00BB46A0">
      <w:r w:rsidRPr="00BB46A0">
        <w:t>A receita municipal é composta por três blocos principais: Receita Tributária (impostos próprios como IPTU e ISS), Transferências Correntes (repasses da União e do Estado, como FPM e ICMS) e Outras Receitas. A predominância das transferências é absoluta em ambos os casos.</w:t>
      </w:r>
    </w:p>
    <w:p w14:paraId="2C337BAE" w14:textId="77777777" w:rsidR="007D2ACE" w:rsidRDefault="007D2ACE" w:rsidP="00BB46A0">
      <w:pPr>
        <w:rPr>
          <w:b/>
          <w:bCs/>
        </w:rPr>
      </w:pPr>
    </w:p>
    <w:p w14:paraId="387F08B5" w14:textId="77777777" w:rsidR="007D2ACE" w:rsidRDefault="007D2ACE" w:rsidP="00BB46A0">
      <w:pPr>
        <w:rPr>
          <w:b/>
          <w:bCs/>
        </w:rPr>
      </w:pPr>
    </w:p>
    <w:p w14:paraId="713622E8" w14:textId="4E1C8DF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Eirunepé/AM — Composição da Receita (R$)</w:t>
      </w:r>
    </w:p>
    <w:tbl>
      <w:tblPr>
        <w:tblW w:w="87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3"/>
        <w:gridCol w:w="1500"/>
        <w:gridCol w:w="1773"/>
        <w:gridCol w:w="1500"/>
        <w:gridCol w:w="1756"/>
        <w:gridCol w:w="1527"/>
      </w:tblGrid>
      <w:tr w:rsidR="00BB46A0" w:rsidRPr="00BB46A0" w14:paraId="47A48E05" w14:textId="77777777" w:rsidTr="00545DD2">
        <w:trPr>
          <w:trHeight w:val="1260"/>
        </w:trPr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CD997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4426E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Receita Tributária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5683A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Transferências Correntes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C5310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Outras Receitas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460E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B7E99" w14:textId="77777777" w:rsidR="00BB46A0" w:rsidRPr="00BB46A0" w:rsidRDefault="00BB46A0" w:rsidP="00BB46A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Participação </w:t>
            </w:r>
            <w:proofErr w:type="spellStart"/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Transf</w:t>
            </w:r>
            <w:proofErr w:type="spellEnd"/>
            <w:r w:rsidRPr="00BB46A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BB46A0" w:rsidRPr="00BB46A0" w14:paraId="5C9182A6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938E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7A1CC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997.823,52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6E05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56.327.104,85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8F2D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115.187,83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8493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57.440.116,20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E990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98,10%</w:t>
            </w:r>
          </w:p>
        </w:tc>
      </w:tr>
      <w:tr w:rsidR="00BB46A0" w:rsidRPr="00BB46A0" w14:paraId="2AE30FFD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E03B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1E63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785.170,38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9982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58.313.890,83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01280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239.525,16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280A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59.338.586,37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E83CC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98,30%</w:t>
            </w:r>
          </w:p>
        </w:tc>
      </w:tr>
      <w:tr w:rsidR="00BB46A0" w:rsidRPr="00BB46A0" w14:paraId="74D86F2C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91F7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83DA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1.154.661,63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1A5A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65.294.346,20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BDE4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455.928,87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BA93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66.904.936,70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6990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97,60%</w:t>
            </w:r>
          </w:p>
        </w:tc>
      </w:tr>
      <w:tr w:rsidR="00BB46A0" w:rsidRPr="00BB46A0" w14:paraId="010BF673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DEF3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E2B4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2.381.736,24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0168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72.297.345,95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CB53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194.455,09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11B8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74.873.537,28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90ED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96,60%</w:t>
            </w:r>
          </w:p>
        </w:tc>
      </w:tr>
      <w:tr w:rsidR="00BB46A0" w:rsidRPr="00BB46A0" w14:paraId="271359BC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A5C2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E8E8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1.917.798,84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F8D9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82.581.929,11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8AA6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210.941,40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F3B7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84.710.669,35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927A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97,50%</w:t>
            </w:r>
          </w:p>
        </w:tc>
      </w:tr>
      <w:tr w:rsidR="00BB46A0" w:rsidRPr="00BB46A0" w14:paraId="190F30F2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644F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045A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2.321.119,30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D82B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94.707.390,36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C9F4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1.042.187,73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6C60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98.070.697,39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8AC1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96,60%</w:t>
            </w:r>
          </w:p>
        </w:tc>
      </w:tr>
      <w:tr w:rsidR="00BB46A0" w:rsidRPr="00BB46A0" w14:paraId="047581A8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5830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0E94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3.069.955,26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2301F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116.981.757,36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CDB5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1.259.942,10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6AC41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121.311.654,72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B472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96,40%</w:t>
            </w:r>
          </w:p>
        </w:tc>
      </w:tr>
      <w:tr w:rsidR="00BB46A0" w:rsidRPr="00BB46A0" w14:paraId="79F2EDCD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BF62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9D2A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5.344.479,69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3A936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141.369.363,23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F543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1.363.830,78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E5C0E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148.077.673,70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E670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95,50%</w:t>
            </w:r>
          </w:p>
        </w:tc>
      </w:tr>
      <w:tr w:rsidR="00BB46A0" w:rsidRPr="00BB46A0" w14:paraId="76A97BEA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9BA25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7143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5.888.775,56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EE4F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152.497.226,07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36613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1.410.838,29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FA82A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159.796.839,92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3351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95,40%</w:t>
            </w:r>
          </w:p>
        </w:tc>
      </w:tr>
      <w:tr w:rsidR="00BB46A0" w:rsidRPr="00BB46A0" w14:paraId="5D6C4583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3ACCD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92AC9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5.961.105,39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B3398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176.259.402,93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0824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2.660.954,58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01037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184.881.462,90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ADE3B" w14:textId="77777777" w:rsidR="00BB46A0" w:rsidRPr="00BB46A0" w:rsidRDefault="00BB46A0" w:rsidP="00BB46A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BB46A0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95,30%</w:t>
            </w:r>
          </w:p>
        </w:tc>
      </w:tr>
    </w:tbl>
    <w:p w14:paraId="65967AE2" w14:textId="77777777" w:rsidR="00545DD2" w:rsidRDefault="00545DD2" w:rsidP="00545DD2">
      <w:pPr>
        <w:ind w:left="708"/>
        <w:rPr>
          <w:b/>
          <w:bCs/>
        </w:rPr>
      </w:pPr>
    </w:p>
    <w:p w14:paraId="73B5C564" w14:textId="5EB1C9C5" w:rsidR="007D2ACE" w:rsidRDefault="00545DD2" w:rsidP="00545DD2">
      <w:pPr>
        <w:ind w:left="708"/>
        <w:rPr>
          <w:b/>
          <w:bCs/>
        </w:rPr>
      </w:pPr>
      <w:r>
        <w:rPr>
          <w:noProof/>
        </w:rPr>
        <w:drawing>
          <wp:inline distT="0" distB="0" distL="0" distR="0" wp14:anchorId="4839A205" wp14:editId="660986AF">
            <wp:extent cx="4572000" cy="2743200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B6C62F69-A42D-DA63-60C3-77EA4DEC49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</w:p>
    <w:p w14:paraId="436BD6E8" w14:textId="339B9BD3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lastRenderedPageBreak/>
        <w:t>Lábrea/AM — Composição da Receita (R$)</w:t>
      </w:r>
    </w:p>
    <w:tbl>
      <w:tblPr>
        <w:tblW w:w="88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3"/>
        <w:gridCol w:w="1628"/>
        <w:gridCol w:w="1773"/>
        <w:gridCol w:w="1500"/>
        <w:gridCol w:w="1756"/>
        <w:gridCol w:w="1527"/>
      </w:tblGrid>
      <w:tr w:rsidR="007D2ACE" w:rsidRPr="007D2ACE" w14:paraId="616BF0C4" w14:textId="77777777" w:rsidTr="00545DD2">
        <w:trPr>
          <w:trHeight w:val="945"/>
        </w:trPr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80677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CDF65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Receita Tributária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2E934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Transferências Correntes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93C9E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Outras Receitas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7533D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11CD4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Participação </w:t>
            </w:r>
            <w:proofErr w:type="spellStart"/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Transf</w:t>
            </w:r>
            <w:proofErr w:type="spellEnd"/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7D2ACE" w:rsidRPr="007D2ACE" w14:paraId="7744018E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083D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2015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FAE5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2.096.392,69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13A5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64.301.659,42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9097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539.834,29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D8BA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66.937.886,40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342B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96,10%</w:t>
            </w:r>
          </w:p>
        </w:tc>
      </w:tr>
      <w:tr w:rsidR="007D2ACE" w:rsidRPr="007D2ACE" w14:paraId="259F15B9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CADE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95B5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2.433.001,82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2680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68.862.939,14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CE62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409.105,57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710D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71.705.046,53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D95F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96,00%</w:t>
            </w:r>
          </w:p>
        </w:tc>
      </w:tr>
      <w:tr w:rsidR="007D2ACE" w:rsidRPr="007D2ACE" w14:paraId="4575D6C5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130B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807B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2.991.083,68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D131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80.190.125,48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2D6E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993.563,02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B9C4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84.174.772,18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6743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95,30%</w:t>
            </w:r>
          </w:p>
        </w:tc>
      </w:tr>
      <w:tr w:rsidR="007D2ACE" w:rsidRPr="007D2ACE" w14:paraId="1FA4C89D" w14:textId="77777777" w:rsidTr="00545DD2">
        <w:trPr>
          <w:trHeight w:val="630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D2D8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7F4A5" w14:textId="2124A004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10.633.700,00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15A0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90.573.539,69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6A3B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308F1" w14:textId="151B8B21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101.207.239,69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ABF2B" w14:textId="1F628212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89,5%</w:t>
            </w:r>
          </w:p>
        </w:tc>
      </w:tr>
      <w:tr w:rsidR="007D2ACE" w:rsidRPr="007D2ACE" w14:paraId="39A7A540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0E96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015E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C2AAB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DD2D0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D5698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FE7AE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</w:tr>
      <w:tr w:rsidR="007D2ACE" w:rsidRPr="007D2ACE" w14:paraId="3700A6D9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B541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5563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4.875.899,64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9327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115.732.996,33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1680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15.309,87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FBC5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120.624.205,84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A191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95,90%</w:t>
            </w:r>
          </w:p>
        </w:tc>
      </w:tr>
      <w:tr w:rsidR="007D2ACE" w:rsidRPr="007D2ACE" w14:paraId="2FC2A8C0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DAE7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B110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5.958.282,00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A094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132.824.845,79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37FD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2.133.117,50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BABF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140.916.245,29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165F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94,30%</w:t>
            </w:r>
          </w:p>
        </w:tc>
      </w:tr>
      <w:tr w:rsidR="007D2ACE" w:rsidRPr="007D2ACE" w14:paraId="6369C9CA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0A1A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707B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8.002.837,58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0F01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162.612.854,48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6B98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2.672.919,29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86BD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173.288.611,35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D5A3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93,80%</w:t>
            </w:r>
          </w:p>
        </w:tc>
      </w:tr>
      <w:tr w:rsidR="007D2ACE" w:rsidRPr="007D2ACE" w14:paraId="200BBBAB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F28D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FA85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7.084.850,08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AB7D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184.409.967,04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BE55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4.368.920,50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AD8F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195.863.737,62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2F7D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94,20%</w:t>
            </w:r>
          </w:p>
        </w:tc>
      </w:tr>
      <w:tr w:rsidR="007D2ACE" w:rsidRPr="007D2ACE" w14:paraId="6DAD7CDA" w14:textId="77777777" w:rsidTr="00545DD2">
        <w:trPr>
          <w:trHeight w:val="315"/>
        </w:trPr>
        <w:tc>
          <w:tcPr>
            <w:tcW w:w="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B55A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0D86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2.739.574,98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ADC3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91.358.764,57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FA41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4.914.168,79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7035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99.012.508,34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7D32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92,30%</w:t>
            </w:r>
          </w:p>
        </w:tc>
      </w:tr>
    </w:tbl>
    <w:p w14:paraId="798642D4" w14:textId="77777777" w:rsidR="00545DD2" w:rsidRDefault="00545DD2" w:rsidP="00BB46A0">
      <w:pPr>
        <w:rPr>
          <w:b/>
          <w:bCs/>
        </w:rPr>
      </w:pPr>
    </w:p>
    <w:p w14:paraId="0108060C" w14:textId="0F242AAF" w:rsidR="00545DD2" w:rsidRDefault="00545DD2" w:rsidP="00545DD2">
      <w:pPr>
        <w:ind w:firstLine="708"/>
        <w:rPr>
          <w:b/>
          <w:bCs/>
        </w:rPr>
      </w:pPr>
      <w:r>
        <w:rPr>
          <w:noProof/>
        </w:rPr>
        <w:drawing>
          <wp:inline distT="0" distB="0" distL="0" distR="0" wp14:anchorId="01326AEB" wp14:editId="063C5E51">
            <wp:extent cx="4572000" cy="2743200"/>
            <wp:effectExtent l="0" t="0" r="0" b="0"/>
            <wp:docPr id="3" name="Gráfico 3">
              <a:extLst xmlns:a="http://schemas.openxmlformats.org/drawingml/2006/main">
                <a:ext uri="{FF2B5EF4-FFF2-40B4-BE49-F238E27FC236}">
                  <a16:creationId xmlns:a16="http://schemas.microsoft.com/office/drawing/2014/main" id="{C15717F2-D857-A3A1-098A-966239FE4A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83C244B" w14:textId="7F733011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Análise Crítica</w:t>
      </w:r>
    </w:p>
    <w:p w14:paraId="16493919" w14:textId="77777777" w:rsidR="00BB46A0" w:rsidRPr="00BB46A0" w:rsidRDefault="00BB46A0" w:rsidP="00BB46A0">
      <w:r w:rsidRPr="00BB46A0">
        <w:rPr>
          <w:b/>
          <w:bCs/>
        </w:rPr>
        <w:t>Predomínio das Transferências Correntes:</w:t>
      </w:r>
      <w:r w:rsidRPr="00BB46A0">
        <w:t xml:space="preserve"> Em ambos os municípios, mais de 93% da receita provém de transferências externas (FPM e ICMS). Isso demonstra dependência extrema de recursos da União e do Estado, limitando a autonomia administrativa local.</w:t>
      </w:r>
    </w:p>
    <w:p w14:paraId="1220447C" w14:textId="77777777" w:rsidR="00BB46A0" w:rsidRPr="00BB46A0" w:rsidRDefault="00BB46A0" w:rsidP="00BB46A0">
      <w:r w:rsidRPr="00BB46A0">
        <w:rPr>
          <w:b/>
          <w:bCs/>
        </w:rPr>
        <w:t>Evolução Temporal:</w:t>
      </w:r>
      <w:r w:rsidRPr="00BB46A0">
        <w:t xml:space="preserve"> Há crescimento nominal constante entre 2015 e 2023. Eirunepé, por exemplo, viu sua receita total saltar de R$ 57,4 milhões para R$ 184,9 milhões no período — crescimento nominal de 222%.</w:t>
      </w:r>
    </w:p>
    <w:p w14:paraId="7AEFF8B3" w14:textId="77777777" w:rsidR="00BB46A0" w:rsidRPr="00BB46A0" w:rsidRDefault="00BB46A0" w:rsidP="00BB46A0">
      <w:r w:rsidRPr="00BB46A0">
        <w:rPr>
          <w:b/>
          <w:bCs/>
        </w:rPr>
        <w:t>Baixa Eficiência Arrecadatória Própria:</w:t>
      </w:r>
      <w:r w:rsidRPr="00BB46A0">
        <w:t xml:space="preserve"> Embora a Receita Tributária tenha crescido em valores absolutos, sua participação percentual no total permanece </w:t>
      </w:r>
      <w:r w:rsidRPr="00BB46A0">
        <w:lastRenderedPageBreak/>
        <w:t>entre 2% e 5%, o que é um desafio estrutural para a sustentabilidade financeira local. A média nacional dos municípios brasileiros com população entre 30.000 e 50.000 habitantes registra participação de receita própria em torno de 6–8% (FIRJAN, 2022), indicando que ambos os municípios estão abaixo da média de pares comparáveis.</w:t>
      </w:r>
    </w:p>
    <w:p w14:paraId="6324D8F2" w14:textId="77777777" w:rsidR="00BB46A0" w:rsidRPr="00BB46A0" w:rsidRDefault="00BB46A0" w:rsidP="00BB46A0">
      <w:r w:rsidRPr="00BB46A0">
        <w:rPr>
          <w:b/>
          <w:bCs/>
        </w:rPr>
        <w:t>Anomalia em Lábrea 2024:</w:t>
      </w:r>
      <w:r w:rsidRPr="00BB46A0">
        <w:t xml:space="preserve"> A receita total de Lábrea em 2024 (R$ 103,5M) representa menos da metade do verificado em 2023 (R$ 238,9M), sugerindo que os dados de 2024 são parciais (apenas primeiro semestre ou alguns meses do exercício).</w:t>
      </w:r>
    </w:p>
    <w:p w14:paraId="17A3A7BD" w14:textId="77777777" w:rsidR="00BB46A0" w:rsidRPr="00BB46A0" w:rsidRDefault="00000000" w:rsidP="00BB46A0">
      <w:r>
        <w:pict w14:anchorId="74586CBA">
          <v:rect id="_x0000_i1031" style="width:0;height:1.5pt" o:hralign="center" o:hrstd="t" o:hr="t" fillcolor="#a0a0a0" stroked="f"/>
        </w:pict>
      </w:r>
    </w:p>
    <w:p w14:paraId="7FCFAF1F" w14:textId="49F24D90" w:rsidR="00BD4068" w:rsidRDefault="00BD4068" w:rsidP="00BB46A0">
      <w:pPr>
        <w:rPr>
          <w:b/>
          <w:bCs/>
        </w:rPr>
      </w:pPr>
      <w:r w:rsidRPr="00BD4068">
        <w:rPr>
          <w:b/>
          <w:bCs/>
        </w:rPr>
        <w:t>4) Analise evolução conjunta das receitas e despesas (10 anos, valores reais, gráfico e análise crítica).</w:t>
      </w:r>
    </w:p>
    <w:p w14:paraId="7C66BFBE" w14:textId="13BAC978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Questão 4 — Evolução Conjunta de Receitas e Despesas: Valores Reais (2015–2024)</w:t>
      </w:r>
    </w:p>
    <w:p w14:paraId="0CD6E42C" w14:textId="77777777" w:rsidR="00BB46A0" w:rsidRPr="00BB46A0" w:rsidRDefault="00BB46A0" w:rsidP="00BB46A0">
      <w:r w:rsidRPr="00BB46A0">
        <w:t>A análise da série histórica de dez anos para os municípios de Lábrea e Eirunepé revela um comportamento de crescimento real moderado, marcado por picos de volatilidade que acompanham os ciclos de repasses federais (FPM).</w:t>
      </w:r>
    </w:p>
    <w:p w14:paraId="2AFC211C" w14:textId="77777777" w:rsidR="00BB46A0" w:rsidRPr="00BB46A0" w:rsidRDefault="00BB46A0" w:rsidP="00BB46A0">
      <w:r w:rsidRPr="00BB46A0">
        <w:t xml:space="preserve">Para o deflacionamento, aplicou-se a fórmula: </w:t>
      </w:r>
      <w:r w:rsidRPr="00BB46A0">
        <w:rPr>
          <w:b/>
          <w:bCs/>
        </w:rPr>
        <w:t>Valor Real = Valor Nominal × Fator IPCA</w:t>
      </w:r>
      <w:r w:rsidRPr="00BB46A0">
        <w:t xml:space="preserve">, onde os fatores encadeados (Tabela 1737, SIDRA/IBGE) expressam o poder de compra de dezembro de 2024. Portanto, os valores nominais de anos anteriores foram </w:t>
      </w:r>
      <w:r w:rsidRPr="00BB46A0">
        <w:rPr>
          <w:i/>
          <w:iCs/>
        </w:rPr>
        <w:t>multiplicados</w:t>
      </w:r>
      <w:r w:rsidRPr="00BB46A0">
        <w:t xml:space="preserve"> pelo fator (que é maior que 1 para anos passados), trazendo-os ao equivalente de 2024.</w:t>
      </w:r>
    </w:p>
    <w:p w14:paraId="258F00B2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Lábrea/AM — Receita e Despesa Reais (R$, base dez/2024)</w:t>
      </w:r>
    </w:p>
    <w:tbl>
      <w:tblPr>
        <w:tblW w:w="10800" w:type="dxa"/>
        <w:tblInd w:w="-11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"/>
        <w:gridCol w:w="1880"/>
        <w:gridCol w:w="1880"/>
        <w:gridCol w:w="1600"/>
        <w:gridCol w:w="1880"/>
        <w:gridCol w:w="1520"/>
        <w:gridCol w:w="1360"/>
      </w:tblGrid>
      <w:tr w:rsidR="007D2ACE" w:rsidRPr="007D2ACE" w14:paraId="54236AE5" w14:textId="77777777" w:rsidTr="007D2ACE">
        <w:trPr>
          <w:trHeight w:val="94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CF6F0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A3EE8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Receita Nominal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C55DF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Fator IPCA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73523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Receita Real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E537B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Despesa Nominal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598BB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Despesa Real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1324D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Resultado Real</w:t>
            </w:r>
          </w:p>
        </w:tc>
      </w:tr>
      <w:tr w:rsidR="007D2ACE" w:rsidRPr="007D2ACE" w14:paraId="44AA695B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8B27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4B42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119.908.285,40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F823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1,7247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49B6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206.769.007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B9E0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102.090.608,67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B69C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176.071.046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610A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30.697.961</w:t>
            </w:r>
          </w:p>
        </w:tc>
      </w:tr>
      <w:tr w:rsidR="007D2ACE" w:rsidRPr="007D2ACE" w14:paraId="32BDCCCC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89DD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C8D3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119.539.573,31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2225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1,6226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D2A3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193.924.178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9776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110.498.214,01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70BE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179.286.218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F7F9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14.637.960</w:t>
            </w:r>
          </w:p>
        </w:tc>
      </w:tr>
      <w:tr w:rsidR="007D2ACE" w:rsidRPr="007D2ACE" w14:paraId="3A257D06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66FE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F907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133.020.094,84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5EAC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1,5761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C2A4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209.686.800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E03A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124.212.602,08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E600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195.825.960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5CD6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13.860.840</w:t>
            </w:r>
          </w:p>
        </w:tc>
      </w:tr>
      <w:tr w:rsidR="007D2ACE" w:rsidRPr="007D2ACE" w14:paraId="4FE30685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A272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C99B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137.600.897,84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21B8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1,5191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71BA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209.008.804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BC68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114.534.006,24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D121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174.028.819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D159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34.979.985</w:t>
            </w:r>
          </w:p>
        </w:tc>
      </w:tr>
      <w:tr w:rsidR="007D2ACE" w:rsidRPr="007D2ACE" w14:paraId="62C399C3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DF80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10AF9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EB18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1,4564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E1F73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96594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AC0B3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F5603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—</w:t>
            </w:r>
          </w:p>
        </w:tc>
      </w:tr>
      <w:tr w:rsidR="007D2ACE" w:rsidRPr="007D2ACE" w14:paraId="49E55D00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EC49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91DF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182.420.052,63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F544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1,3934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604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254.176.741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6F22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165.995.793,88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5DAF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231.311.734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E83D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22.865.007</w:t>
            </w:r>
          </w:p>
        </w:tc>
      </w:tr>
      <w:tr w:rsidR="007D2ACE" w:rsidRPr="007D2ACE" w14:paraId="5BBAE32D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D9DD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C4C7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206.016.720,11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D6C1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1,2651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8441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260.621.348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8CD6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183.745.862,52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C678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232.351.349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C2C4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28.269.999</w:t>
            </w:r>
          </w:p>
        </w:tc>
      </w:tr>
      <w:tr w:rsidR="007D2ACE" w:rsidRPr="007D2ACE" w14:paraId="1C3A7945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A113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3129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222.237.036,77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E149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1,1959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97D0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265.803.327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DBBD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212.574.437,34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C52E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254.226.530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5C81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11.576.797</w:t>
            </w:r>
          </w:p>
        </w:tc>
      </w:tr>
      <w:tr w:rsidR="007D2ACE" w:rsidRPr="007D2ACE" w14:paraId="0C66A0B0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B0E2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ACFF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238.987.186,78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878B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1,1429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AE8D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273.095.817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3E92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217.695.400,68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937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248.778.300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C4B0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24.317.517</w:t>
            </w:r>
          </w:p>
        </w:tc>
      </w:tr>
      <w:tr w:rsidR="007D2ACE" w:rsidRPr="007D2ACE" w14:paraId="0322A4FF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F374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9B47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103.540.289,40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CAF6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2573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103.540.289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8AD6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98.601.575,04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1FD5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98.601.575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1158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4.938.714</w:t>
            </w:r>
          </w:p>
        </w:tc>
      </w:tr>
    </w:tbl>
    <w:p w14:paraId="7205BF86" w14:textId="77777777" w:rsidR="007D2ACE" w:rsidRDefault="007D2ACE" w:rsidP="00BB46A0">
      <w:pPr>
        <w:rPr>
          <w:b/>
          <w:bCs/>
        </w:rPr>
      </w:pPr>
    </w:p>
    <w:p w14:paraId="23243CB3" w14:textId="77777777" w:rsidR="007D2ACE" w:rsidRDefault="007D2ACE" w:rsidP="00BB46A0">
      <w:pPr>
        <w:rPr>
          <w:b/>
          <w:bCs/>
        </w:rPr>
      </w:pPr>
    </w:p>
    <w:p w14:paraId="5F0BFC72" w14:textId="61916D8A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Eirunepé/AM — Receita e Despesa Reais (R$, base dez/2024)</w:t>
      </w:r>
    </w:p>
    <w:tbl>
      <w:tblPr>
        <w:tblW w:w="10800" w:type="dxa"/>
        <w:tblInd w:w="-11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"/>
        <w:gridCol w:w="1880"/>
        <w:gridCol w:w="1880"/>
        <w:gridCol w:w="1600"/>
        <w:gridCol w:w="1880"/>
        <w:gridCol w:w="1520"/>
        <w:gridCol w:w="1360"/>
      </w:tblGrid>
      <w:tr w:rsidR="007D2ACE" w:rsidRPr="007D2ACE" w14:paraId="590166A7" w14:textId="77777777" w:rsidTr="007D2ACE">
        <w:trPr>
          <w:trHeight w:val="63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41CC6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0C8B3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Receita Nominal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03CBD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Fator IPCA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703F7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Receita Real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FE462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Despesa Nominal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972A5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Despesa Real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0051F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Resultado Real</w:t>
            </w:r>
          </w:p>
        </w:tc>
      </w:tr>
      <w:tr w:rsidR="007D2ACE" w:rsidRPr="007D2ACE" w14:paraId="27B84600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C003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0246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99.134.904,34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0692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1,7247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E63F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170.944.699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EDFE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74.237.208,12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0E94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128.027.289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2176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42.917.410</w:t>
            </w:r>
          </w:p>
        </w:tc>
      </w:tr>
      <w:tr w:rsidR="007D2ACE" w:rsidRPr="007D2ACE" w14:paraId="14328444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2C5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BE43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96.759.329,35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FE1D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1,6226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6A06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156.989.764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3B5C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56.872.715,45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2706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92.270.929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E438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64.718.835</w:t>
            </w:r>
          </w:p>
        </w:tc>
      </w:tr>
      <w:tr w:rsidR="007D2ACE" w:rsidRPr="007D2ACE" w14:paraId="2A0E99D3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8EAE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8CE0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105.448.870,73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5A7A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1,5761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DB74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166.199.020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C807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96.406.658,38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87FF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151.968.657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1FC7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14.230.363</w:t>
            </w:r>
          </w:p>
        </w:tc>
      </w:tr>
      <w:tr w:rsidR="007D2ACE" w:rsidRPr="007D2ACE" w14:paraId="3463BDA2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0098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A1EC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127.321.219,01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C7AB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1,5191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DD28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193.476.263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2852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129.882.220,01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BB3B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197.368.823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94474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−3.892.560</w:t>
            </w:r>
          </w:p>
        </w:tc>
      </w:tr>
      <w:tr w:rsidR="007D2ACE" w:rsidRPr="007D2ACE" w14:paraId="1694AEEC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EAFC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9C9B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132.718.282,97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C77A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1,4564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80DE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193.347.289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A198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122.213.146,02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23C3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178.063.803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DD51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15.283.486</w:t>
            </w:r>
          </w:p>
        </w:tc>
      </w:tr>
      <w:tr w:rsidR="007D2ACE" w:rsidRPr="007D2ACE" w14:paraId="0F095D98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745D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FF69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151.042.324,60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4E23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1,3934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82C1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210.483.576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FE70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145.674.056,35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E3F9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203.002.279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9A9F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7.481.297</w:t>
            </w:r>
          </w:p>
        </w:tc>
      </w:tr>
      <w:tr w:rsidR="007D2ACE" w:rsidRPr="007D2ACE" w14:paraId="6BE96F4B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8380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9698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167.932.746,95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196D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1,2651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47E3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212.338.397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9C76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159.122.129,81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2F38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201.199.161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5AF0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11.139.236</w:t>
            </w:r>
          </w:p>
        </w:tc>
      </w:tr>
      <w:tr w:rsidR="007D2ACE" w:rsidRPr="007D2ACE" w14:paraId="2C0F09C0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F8DD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0C1F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195.333.940,49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E641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1,1959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1CEB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233.558.680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3598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192.334.857,98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D97B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229.974.127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1DFA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3.584.553</w:t>
            </w:r>
          </w:p>
        </w:tc>
      </w:tr>
      <w:tr w:rsidR="007D2ACE" w:rsidRPr="007D2ACE" w14:paraId="69F79941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5E80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3809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219.323.926,00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8896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1,1429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C13E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250.653.888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361F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209.056.393,38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17E7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238.923.940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921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11.729.948</w:t>
            </w:r>
          </w:p>
        </w:tc>
      </w:tr>
      <w:tr w:rsidR="007D2ACE" w:rsidRPr="007D2ACE" w14:paraId="7C1C74AE" w14:textId="77777777" w:rsidTr="007D2ACE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F3A1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4584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196.960.631,73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B600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0BED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196.960.632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6426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192.107.576,69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F474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192.107.577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D8BE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4.853.055</w:t>
            </w:r>
          </w:p>
        </w:tc>
      </w:tr>
    </w:tbl>
    <w:p w14:paraId="0B0ED89A" w14:textId="77777777" w:rsidR="00B262E6" w:rsidRDefault="00B262E6" w:rsidP="00BB46A0">
      <w:pPr>
        <w:rPr>
          <w:b/>
          <w:bCs/>
        </w:rPr>
      </w:pPr>
    </w:p>
    <w:p w14:paraId="69F6B36F" w14:textId="44D24059" w:rsidR="00B262E6" w:rsidRDefault="00B262E6" w:rsidP="00B262E6">
      <w:pPr>
        <w:ind w:firstLine="708"/>
        <w:rPr>
          <w:b/>
          <w:bCs/>
        </w:rPr>
      </w:pPr>
      <w:r>
        <w:rPr>
          <w:noProof/>
        </w:rPr>
        <w:drawing>
          <wp:inline distT="0" distB="0" distL="0" distR="0" wp14:anchorId="50FB7245" wp14:editId="595B9609">
            <wp:extent cx="4572000" cy="2743200"/>
            <wp:effectExtent l="0" t="0" r="0" b="0"/>
            <wp:docPr id="6" name="Gráfico 6">
              <a:extLst xmlns:a="http://schemas.openxmlformats.org/drawingml/2006/main">
                <a:ext uri="{FF2B5EF4-FFF2-40B4-BE49-F238E27FC236}">
                  <a16:creationId xmlns:a16="http://schemas.microsoft.com/office/drawing/2014/main" id="{E5134512-5E9A-2E2F-2385-2DC0ADA22E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CE7306C" w14:textId="77777777" w:rsidR="00B262E6" w:rsidRDefault="00B262E6" w:rsidP="00B262E6">
      <w:pPr>
        <w:ind w:firstLine="708"/>
        <w:rPr>
          <w:b/>
          <w:bCs/>
        </w:rPr>
      </w:pPr>
    </w:p>
    <w:p w14:paraId="7032C9EF" w14:textId="384EAA47" w:rsidR="00B262E6" w:rsidRDefault="00B262E6" w:rsidP="00B262E6">
      <w:pPr>
        <w:ind w:firstLine="708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0E3AEF" wp14:editId="70F7AD73">
            <wp:extent cx="4572000" cy="2743200"/>
            <wp:effectExtent l="0" t="0" r="0" b="0"/>
            <wp:docPr id="4" name="Gráfico 4">
              <a:extLst xmlns:a="http://schemas.openxmlformats.org/drawingml/2006/main">
                <a:ext uri="{FF2B5EF4-FFF2-40B4-BE49-F238E27FC236}">
                  <a16:creationId xmlns:a16="http://schemas.microsoft.com/office/drawing/2014/main" id="{61C6FD00-5028-AB8E-A276-CED0AFE76C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27B2746" w14:textId="77777777" w:rsidR="00B262E6" w:rsidRDefault="00B262E6" w:rsidP="00B262E6">
      <w:pPr>
        <w:ind w:firstLine="708"/>
        <w:rPr>
          <w:b/>
          <w:bCs/>
        </w:rPr>
      </w:pPr>
    </w:p>
    <w:p w14:paraId="75B6E941" w14:textId="77777777" w:rsidR="00B262E6" w:rsidRDefault="00B262E6" w:rsidP="00BB46A0">
      <w:pPr>
        <w:rPr>
          <w:b/>
          <w:bCs/>
        </w:rPr>
      </w:pPr>
    </w:p>
    <w:p w14:paraId="0425A418" w14:textId="3A3DF398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Análise Crítica</w:t>
      </w:r>
    </w:p>
    <w:p w14:paraId="3314EECE" w14:textId="77777777" w:rsidR="00BB46A0" w:rsidRPr="00BB46A0" w:rsidRDefault="00BB46A0" w:rsidP="00BB46A0">
      <w:r w:rsidRPr="00BB46A0">
        <w:rPr>
          <w:b/>
          <w:bCs/>
        </w:rPr>
        <w:t>Lábrea/AM:</w:t>
      </w:r>
      <w:r w:rsidRPr="00BB46A0">
        <w:t xml:space="preserve"> Apresentou crescimento real da receita entre 2015 e 2023, com pico de R$ 273,1 milhões em 2023 (valores de 2024). O comportamento das despesas seguiu de perto a arrecadação, evidenciando uma gestão orientada pelo equilíbrio orçamentário. Os dados de 2024 representam período parcial e não devem ser comparados diretamente com os exercícios anteriores completos.</w:t>
      </w:r>
    </w:p>
    <w:p w14:paraId="451A369E" w14:textId="77777777" w:rsidR="00BB46A0" w:rsidRPr="00BB46A0" w:rsidRDefault="00BB46A0" w:rsidP="00BB46A0">
      <w:r w:rsidRPr="00BB46A0">
        <w:rPr>
          <w:b/>
          <w:bCs/>
        </w:rPr>
        <w:t>Eirunepé/AM:</w:t>
      </w:r>
      <w:r w:rsidRPr="00BB46A0">
        <w:t xml:space="preserve"> Teve crescimento real expressivo em termos absolutos, saindo de R$ 170,9 milhões em 2015 para R$ 250,7 milhões em 2023 (base 2024). A proximidade entre as curvas de receita e despesa é estreita, evidenciando margem de manobra financeira reduzida para investimentos estruturantes.</w:t>
      </w:r>
    </w:p>
    <w:p w14:paraId="19AE26D0" w14:textId="77777777" w:rsidR="00BB46A0" w:rsidRPr="00BB46A0" w:rsidRDefault="00BB46A0" w:rsidP="00BB46A0">
      <w:r w:rsidRPr="00BB46A0">
        <w:rPr>
          <w:b/>
          <w:bCs/>
        </w:rPr>
        <w:t>Rigidez de Gastos:</w:t>
      </w:r>
      <w:r w:rsidRPr="00BB46A0">
        <w:t xml:space="preserve"> Observa-se em ambos os entes o que a literatura denomina rigidez de gastos. Conforme Giambiagi &amp; Além (2011), quando a despesa cresce em ritmo superior à receita, o município entra em estresse fiscal. Nos dois casos, os gastos com pessoal e custeio consomem a maior parte do incremento de receita, impedindo o acúmulo de poupança pública para investimentos estruturantes. Essa dinâmica confirma a tese de Biderman &amp; </w:t>
      </w:r>
      <w:proofErr w:type="spellStart"/>
      <w:r w:rsidRPr="00BB46A0">
        <w:t>Arvate</w:t>
      </w:r>
      <w:proofErr w:type="spellEnd"/>
      <w:r w:rsidRPr="00BB46A0">
        <w:t xml:space="preserve"> (2004) sobre as assimetrias do federalismo brasileiro, onde a autonomia municipal é cerceada por uma estrutura orçamentária que apenas reage passivamente às oscilações da economia nacional.</w:t>
      </w:r>
    </w:p>
    <w:p w14:paraId="4913C41E" w14:textId="77777777" w:rsidR="00BB46A0" w:rsidRPr="00BB46A0" w:rsidRDefault="00BB46A0" w:rsidP="00BB46A0">
      <w:r w:rsidRPr="00BB46A0">
        <w:rPr>
          <w:b/>
          <w:bCs/>
        </w:rPr>
        <w:t>Impacto da Pandemia (2020–2021):</w:t>
      </w:r>
      <w:r w:rsidRPr="00BB46A0">
        <w:t xml:space="preserve"> Houve salto nas despesas reais em ambos os municípios, financiado por transferências extraordinárias da União (como o Auxílio Financeiro aos Municípios — AFM). Diferente da Irlanda, que utilizou </w:t>
      </w:r>
      <w:r w:rsidRPr="00BB46A0">
        <w:lastRenderedPageBreak/>
        <w:t>reservas soberanas para absorver o choque, os municípios amazonenses dependeram integralmente dos repasses federais extraordinários.</w:t>
      </w:r>
    </w:p>
    <w:p w14:paraId="1657827A" w14:textId="77777777" w:rsidR="00BB46A0" w:rsidRPr="00BB46A0" w:rsidRDefault="00000000" w:rsidP="00BB46A0">
      <w:r>
        <w:pict w14:anchorId="7F501553">
          <v:rect id="_x0000_i1032" style="width:0;height:1.5pt" o:hralign="center" o:hrstd="t" o:hr="t" fillcolor="#a0a0a0" stroked="f"/>
        </w:pict>
      </w:r>
    </w:p>
    <w:p w14:paraId="1C3B9D99" w14:textId="614A7E2E" w:rsidR="00BD4068" w:rsidRDefault="00BD4068" w:rsidP="00BB46A0">
      <w:pPr>
        <w:rPr>
          <w:b/>
          <w:bCs/>
        </w:rPr>
      </w:pPr>
      <w:r w:rsidRPr="00BD4068">
        <w:rPr>
          <w:b/>
          <w:bCs/>
        </w:rPr>
        <w:t>5) Relacione gasto público com indicador de resultado (educação ou saúde) usando correlação/regressão.</w:t>
      </w:r>
    </w:p>
    <w:p w14:paraId="3635320D" w14:textId="7A0B3D4D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Questão 5 — Gasto Público e Indicador de Resultado: Saúde em Lábrea/AM</w:t>
      </w:r>
    </w:p>
    <w:p w14:paraId="31CDEB40" w14:textId="77777777" w:rsidR="00BB46A0" w:rsidRPr="00BB46A0" w:rsidRDefault="00BB46A0" w:rsidP="00BB46A0">
      <w:r w:rsidRPr="00BB46A0">
        <w:t>A ciência contábil e a economia do setor público distinguem o insumo (gasto), o produto (serviço prestado) e o resultado (impacto na vida do cidadão). Segundo Giambiagi &amp; Além (2011), o aumento do gasto público não garante, por si só, a melhoria dos indicadores sociais. A eficiência é medida pela capacidade do Estado de atingir melhores indicadores utilizando o menor volume de recursos possível.</w:t>
      </w:r>
    </w:p>
    <w:p w14:paraId="43C6B783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Dados da Análise (Lábrea/AM — Função 10: Saúde)</w:t>
      </w:r>
    </w:p>
    <w:tbl>
      <w:tblPr>
        <w:tblW w:w="5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3"/>
        <w:gridCol w:w="1628"/>
        <w:gridCol w:w="722"/>
        <w:gridCol w:w="1628"/>
        <w:gridCol w:w="1472"/>
      </w:tblGrid>
      <w:tr w:rsidR="007D2ACE" w:rsidRPr="007D2ACE" w14:paraId="4A482790" w14:textId="77777777" w:rsidTr="007D2ACE">
        <w:trPr>
          <w:trHeight w:val="1575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4AB84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4A97C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Gasto Nominal (R$)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705A4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Fator IPCA</w:t>
            </w: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02757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Gasto Real (R$)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20860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Mortalidade Infantil (óbitos/ano)</w:t>
            </w:r>
          </w:p>
        </w:tc>
      </w:tr>
      <w:tr w:rsidR="007D2ACE" w:rsidRPr="007D2ACE" w14:paraId="36DDB3DC" w14:textId="77777777" w:rsidTr="007D2ACE">
        <w:trPr>
          <w:trHeight w:val="315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28D3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1336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13.003.565,12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DD2E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1,725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FE11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22.427.248,76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C44F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</w:t>
            </w:r>
          </w:p>
        </w:tc>
      </w:tr>
      <w:tr w:rsidR="007D2ACE" w:rsidRPr="007D2ACE" w14:paraId="3875369D" w14:textId="77777777" w:rsidTr="007D2ACE">
        <w:trPr>
          <w:trHeight w:val="315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9BE6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9B00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13.844.757,98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31B9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1,623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747C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22.464.504,30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96CF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</w:t>
            </w:r>
          </w:p>
        </w:tc>
      </w:tr>
      <w:tr w:rsidR="007D2ACE" w:rsidRPr="007D2ACE" w14:paraId="7BE90BF2" w14:textId="77777777" w:rsidTr="007D2ACE">
        <w:trPr>
          <w:trHeight w:val="315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CEF7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A83B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15.651.986,40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AD54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1,576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4AC3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24.679.765,54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F4C9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</w:t>
            </w:r>
          </w:p>
        </w:tc>
      </w:tr>
      <w:tr w:rsidR="007D2ACE" w:rsidRPr="007D2ACE" w14:paraId="0F4B6881" w14:textId="77777777" w:rsidTr="007D2ACE">
        <w:trPr>
          <w:trHeight w:val="315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C48B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F3E0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18.230.445,10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B2AF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1,519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C4E2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27.703.107,04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FE54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18</w:t>
            </w:r>
          </w:p>
        </w:tc>
      </w:tr>
      <w:tr w:rsidR="007D2ACE" w:rsidRPr="007D2ACE" w14:paraId="7666257E" w14:textId="77777777" w:rsidTr="007D2ACE">
        <w:trPr>
          <w:trHeight w:val="315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4C79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91A6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17.550.880,12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6F6F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1,456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D9D9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25.573.012,24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2F88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16</w:t>
            </w:r>
          </w:p>
        </w:tc>
      </w:tr>
      <w:tr w:rsidR="007D2ACE" w:rsidRPr="007D2ACE" w14:paraId="18888ACF" w14:textId="77777777" w:rsidTr="007D2ACE">
        <w:trPr>
          <w:trHeight w:val="315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93EA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6158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20.102.345,50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52CC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1,393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4438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28.002.608,38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FA5C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</w:tr>
      <w:tr w:rsidR="007D2ACE" w:rsidRPr="007D2ACE" w14:paraId="0883EA82" w14:textId="77777777" w:rsidTr="007D2ACE">
        <w:trPr>
          <w:trHeight w:val="315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1D8C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713C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22.445.670,00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DA07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1,265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0D3E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28.385.082,57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E68B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17</w:t>
            </w:r>
          </w:p>
        </w:tc>
      </w:tr>
      <w:tr w:rsidR="007D2ACE" w:rsidRPr="007D2ACE" w14:paraId="4436446C" w14:textId="77777777" w:rsidTr="007D2ACE">
        <w:trPr>
          <w:trHeight w:val="315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82F4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A9D8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24.550.120,30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9D24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1,196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4DB4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29.358.738,87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C81A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</w:t>
            </w:r>
          </w:p>
        </w:tc>
      </w:tr>
      <w:tr w:rsidR="007D2ACE" w:rsidRPr="007D2ACE" w14:paraId="6BFE808A" w14:textId="77777777" w:rsidTr="007D2ACE">
        <w:trPr>
          <w:trHeight w:val="315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BC6E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9E2A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27.880.440,00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8378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1,143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7AF6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31.862.882,76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0EF7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13</w:t>
            </w:r>
          </w:p>
        </w:tc>
      </w:tr>
      <w:tr w:rsidR="007D2ACE" w:rsidRPr="007D2ACE" w14:paraId="5EA4E651" w14:textId="77777777" w:rsidTr="007D2ACE">
        <w:trPr>
          <w:trHeight w:val="315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61AD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10C9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29.110.550,00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DC0B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6487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29.110.550,00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6512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</w:tr>
    </w:tbl>
    <w:p w14:paraId="45B1430C" w14:textId="77777777" w:rsidR="00BB46A0" w:rsidRPr="00BB46A0" w:rsidRDefault="00BB46A0" w:rsidP="00BB46A0">
      <w:r w:rsidRPr="00BB46A0">
        <w:rPr>
          <w:i/>
          <w:iCs/>
        </w:rPr>
        <w:t>Fonte dos dados de mortalidade: SINASC/DATASUS — Sistema de Informações sobre Nascidos Vivos.</w:t>
      </w:r>
    </w:p>
    <w:p w14:paraId="2CDDDFA9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Metodologia Estatística — Coeficiente de Correlação de Pearson</w:t>
      </w:r>
    </w:p>
    <w:p w14:paraId="56DA2E5C" w14:textId="77777777" w:rsidR="00BB46A0" w:rsidRPr="00BB46A0" w:rsidRDefault="00BB46A0" w:rsidP="00BB46A0">
      <w:r w:rsidRPr="00BB46A0">
        <w:rPr>
          <w:b/>
          <w:bCs/>
        </w:rPr>
        <w:t>Variável Independente (X):</w:t>
      </w:r>
      <w:r w:rsidRPr="00BB46A0">
        <w:t xml:space="preserve"> Gasto Real na Função 10 (Saúde), deflacionado pelo IPCA. </w:t>
      </w:r>
      <w:r w:rsidRPr="00BB46A0">
        <w:rPr>
          <w:b/>
          <w:bCs/>
        </w:rPr>
        <w:t>Variável Dependente (Y):</w:t>
      </w:r>
      <w:r w:rsidRPr="00BB46A0">
        <w:t xml:space="preserve"> Taxa de Mortalidade Infantil (óbitos por ano).</w:t>
      </w:r>
    </w:p>
    <w:p w14:paraId="0B3162B5" w14:textId="77777777" w:rsidR="00BB46A0" w:rsidRPr="00BB46A0" w:rsidRDefault="00BB46A0" w:rsidP="00BB46A0">
      <w:r w:rsidRPr="00BB46A0">
        <w:rPr>
          <w:b/>
          <w:bCs/>
        </w:rPr>
        <w:t>Resultado: r = −0,71</w:t>
      </w:r>
    </w:p>
    <w:p w14:paraId="00A460B9" w14:textId="77777777" w:rsidR="00BB46A0" w:rsidRPr="00BB46A0" w:rsidRDefault="00BB46A0" w:rsidP="00BB46A0">
      <w:r w:rsidRPr="00BB46A0">
        <w:t xml:space="preserve">Na estatística aplicada à gestão pública, este valor indica uma correlação negativa forte. O sinal negativo é o indicador de sucesso da política pública: as variáveis caminham em sentidos opostos. À medida que o investimento real em </w:t>
      </w:r>
      <w:r w:rsidRPr="00BB46A0">
        <w:lastRenderedPageBreak/>
        <w:t>saúde aumentou, houve redução sistemática e consistente no número de óbitos infantis no município.</w:t>
      </w:r>
    </w:p>
    <w:p w14:paraId="3D1F37B4" w14:textId="77777777" w:rsidR="00BB46A0" w:rsidRPr="00BB46A0" w:rsidRDefault="00BB46A0" w:rsidP="00BB46A0">
      <w:r w:rsidRPr="00BB46A0">
        <w:rPr>
          <w:b/>
          <w:bCs/>
        </w:rPr>
        <w:t>Coeficiente de Determinação (R²) = 0,504</w:t>
      </w:r>
    </w:p>
    <w:p w14:paraId="71A8CB75" w14:textId="77777777" w:rsidR="00BB46A0" w:rsidRPr="00BB46A0" w:rsidRDefault="00BB46A0" w:rsidP="00BB46A0">
      <w:r w:rsidRPr="00BB46A0">
        <w:t>Aproximadamente 50,4% da variação na mortalidade infantil é explicada pelo gasto público em saúde. Os 49,6% restantes são atribuídos a fatores exógenos como melhorias no saneamento básico, nível de escolaridade das mães, ações estaduais e federais complementares.</w:t>
      </w:r>
    </w:p>
    <w:p w14:paraId="73922F5A" w14:textId="77777777" w:rsidR="00BB46A0" w:rsidRPr="00BB46A0" w:rsidRDefault="00BB46A0" w:rsidP="00BB46A0">
      <w:r w:rsidRPr="00BB46A0">
        <w:rPr>
          <w:b/>
          <w:bCs/>
        </w:rPr>
        <w:t>Teste de Significância:</w:t>
      </w:r>
      <w:r w:rsidRPr="00BB46A0">
        <w:t xml:space="preserve"> Com n = 10 observações e r = −0,71, o valor crítico de r para p &lt; 0,05 (bicaudal, 8 graus de liberdade) é aproximadamente 0,632. Como |−0,71| &gt; 0,632, a correlação é </w:t>
      </w:r>
      <w:r w:rsidRPr="00BB46A0">
        <w:rPr>
          <w:b/>
          <w:bCs/>
        </w:rPr>
        <w:t>estatisticamente significativa</w:t>
      </w:r>
      <w:r w:rsidRPr="00BB46A0">
        <w:t xml:space="preserve"> ao nível de 5%.</w:t>
      </w:r>
    </w:p>
    <w:p w14:paraId="4A2F869B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Análise Crítica — O "Custo Amazônico" e a Eficiência</w:t>
      </w:r>
    </w:p>
    <w:p w14:paraId="1C4BCC57" w14:textId="77777777" w:rsidR="00BB46A0" w:rsidRPr="00BB46A0" w:rsidRDefault="00BB46A0" w:rsidP="00BB46A0">
      <w:r w:rsidRPr="00BB46A0">
        <w:t>A análise dos dados revela que o custo para manter o mesmo nível de serviço de saúde em Lábrea é significativamente maior do que em regiões centrais do país, devido ao custo logístico estrutural:</w:t>
      </w:r>
    </w:p>
    <w:p w14:paraId="22EAEBE4" w14:textId="77777777" w:rsidR="00BB46A0" w:rsidRPr="00BB46A0" w:rsidRDefault="00BB46A0" w:rsidP="00BB46A0">
      <w:r w:rsidRPr="00BB46A0">
        <w:rPr>
          <w:b/>
          <w:bCs/>
        </w:rPr>
        <w:t>Logística Fluvial:</w:t>
      </w:r>
      <w:r w:rsidRPr="00BB46A0">
        <w:t xml:space="preserve"> Uma parcela considerável do gasto liquidado na saúde é absorvida por combustíveis e manutenção de embarcações (ambulanchas), essenciais para o transporte de pacientes, mas que não se traduzem diretamente em leitos ou médicos adicionais.</w:t>
      </w:r>
    </w:p>
    <w:p w14:paraId="29684BD7" w14:textId="77777777" w:rsidR="00BB46A0" w:rsidRPr="00BB46A0" w:rsidRDefault="00BB46A0" w:rsidP="00BB46A0">
      <w:r w:rsidRPr="00BB46A0">
        <w:rPr>
          <w:b/>
          <w:bCs/>
        </w:rPr>
        <w:t>Deseconomia de Escala:</w:t>
      </w:r>
      <w:r w:rsidRPr="00BB46A0">
        <w:t xml:space="preserve"> A dispersão populacional em comunidades ribeirinhas cria uma externalidade negativa de custo. Para atender 100 pessoas em Lábrea, o custo administrativo e de transporte pode ser até três vezes maior do que em uma área urbana densa.</w:t>
      </w:r>
    </w:p>
    <w:p w14:paraId="213251EC" w14:textId="77777777" w:rsidR="00BB46A0" w:rsidRPr="00BB46A0" w:rsidRDefault="00BB46A0" w:rsidP="00BB46A0">
      <w:r w:rsidRPr="00BB46A0">
        <w:t xml:space="preserve">A redução da mortalidade de 19 casos (2015) para 12 casos (2024) — queda de 36,8% — </w:t>
      </w:r>
      <w:proofErr w:type="spellStart"/>
      <w:r w:rsidRPr="00BB46A0">
        <w:t>valida</w:t>
      </w:r>
      <w:proofErr w:type="spellEnd"/>
      <w:r w:rsidRPr="00BB46A0">
        <w:t xml:space="preserve"> a eficiência dos gastos liquidados, mesmo diante do custo amazônico. Conforme a teoria de Giambiagi &amp; Além (2011), isso comprova a capacidade do gestor de transformar recursos financeiros em ganhos sociais tangíveis.</w:t>
      </w:r>
    </w:p>
    <w:p w14:paraId="227D83E8" w14:textId="77777777" w:rsidR="00BB46A0" w:rsidRPr="00BB46A0" w:rsidRDefault="00000000" w:rsidP="00BB46A0">
      <w:r>
        <w:pict w14:anchorId="3E4F17CD">
          <v:rect id="_x0000_i1033" style="width:0;height:1.5pt" o:hralign="center" o:hrstd="t" o:hr="t" fillcolor="#a0a0a0" stroked="f"/>
        </w:pict>
      </w:r>
    </w:p>
    <w:p w14:paraId="283DA714" w14:textId="4F337DA2" w:rsidR="00BD4068" w:rsidRDefault="00BD4068" w:rsidP="00BB46A0">
      <w:pPr>
        <w:rPr>
          <w:b/>
          <w:bCs/>
        </w:rPr>
      </w:pPr>
      <w:r w:rsidRPr="00BD4068">
        <w:rPr>
          <w:b/>
          <w:bCs/>
        </w:rPr>
        <w:t xml:space="preserve">6) Construa uma Curva de </w:t>
      </w:r>
      <w:proofErr w:type="spellStart"/>
      <w:r w:rsidRPr="00BD4068">
        <w:rPr>
          <w:b/>
          <w:bCs/>
        </w:rPr>
        <w:t>Laffer</w:t>
      </w:r>
      <w:proofErr w:type="spellEnd"/>
      <w:r w:rsidRPr="00BD4068">
        <w:rPr>
          <w:b/>
          <w:bCs/>
        </w:rPr>
        <w:t xml:space="preserve"> empírica (receita </w:t>
      </w:r>
      <w:proofErr w:type="spellStart"/>
      <w:r w:rsidRPr="00BD4068">
        <w:rPr>
          <w:b/>
          <w:bCs/>
        </w:rPr>
        <w:t>vs</w:t>
      </w:r>
      <w:proofErr w:type="spellEnd"/>
      <w:r w:rsidRPr="00BD4068">
        <w:rPr>
          <w:b/>
          <w:bCs/>
        </w:rPr>
        <w:t xml:space="preserve"> proxy de carga tributária), com gráfico e regressão.</w:t>
      </w:r>
    </w:p>
    <w:p w14:paraId="443A2576" w14:textId="466EEB1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 xml:space="preserve">Questão 6 — Curva de </w:t>
      </w:r>
      <w:proofErr w:type="spellStart"/>
      <w:r w:rsidRPr="00BB46A0">
        <w:rPr>
          <w:b/>
          <w:bCs/>
        </w:rPr>
        <w:t>Laffer</w:t>
      </w:r>
      <w:proofErr w:type="spellEnd"/>
      <w:r w:rsidRPr="00BB46A0">
        <w:rPr>
          <w:b/>
          <w:bCs/>
        </w:rPr>
        <w:t xml:space="preserve"> Empírica: Irlanda (2016–2024)</w:t>
      </w:r>
    </w:p>
    <w:p w14:paraId="05BBF2F7" w14:textId="77777777" w:rsidR="00BB46A0" w:rsidRPr="00BB46A0" w:rsidRDefault="00BB46A0" w:rsidP="00BB46A0">
      <w:r w:rsidRPr="00BB46A0">
        <w:t xml:space="preserve">A Curva de </w:t>
      </w:r>
      <w:proofErr w:type="spellStart"/>
      <w:r w:rsidRPr="00BB46A0">
        <w:t>Laffer</w:t>
      </w:r>
      <w:proofErr w:type="spellEnd"/>
      <w:r w:rsidRPr="00BB46A0">
        <w:t xml:space="preserve"> postula a existência de uma relação em formato de "U" invertido entre a alíquota de impostos e a receita total arrecadada, sugerindo que aumentos excessivos na carga tributária podem desestimular a atividade econômica a ponto de reduzir a arrecadação.</w:t>
      </w:r>
    </w:p>
    <w:p w14:paraId="1664B211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lastRenderedPageBreak/>
        <w:t>Dados para Construção da Curva (fonte: CSO/Eurostat)</w:t>
      </w:r>
    </w:p>
    <w:tbl>
      <w:tblPr>
        <w:tblW w:w="3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9"/>
        <w:gridCol w:w="1198"/>
        <w:gridCol w:w="1683"/>
      </w:tblGrid>
      <w:tr w:rsidR="007D2ACE" w:rsidRPr="007D2ACE" w14:paraId="69A40423" w14:textId="77777777" w:rsidTr="007D2ACE">
        <w:trPr>
          <w:trHeight w:val="126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1AA5F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1B19C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Carga Tributária (% PIB)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7A93A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Receita Tributária (€B)</w:t>
            </w:r>
          </w:p>
        </w:tc>
      </w:tr>
      <w:tr w:rsidR="007D2ACE" w:rsidRPr="007D2ACE" w14:paraId="1BF5108D" w14:textId="77777777" w:rsidTr="007D2ACE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FAC6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59E4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23,00%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689E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58,9</w:t>
            </w:r>
          </w:p>
        </w:tc>
      </w:tr>
      <w:tr w:rsidR="007D2ACE" w:rsidRPr="007D2ACE" w14:paraId="018C9B61" w14:textId="77777777" w:rsidTr="007D2ACE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8BC7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26FB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22,80%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423C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75,6</w:t>
            </w:r>
          </w:p>
        </w:tc>
      </w:tr>
      <w:tr w:rsidR="007D2ACE" w:rsidRPr="007D2ACE" w14:paraId="679B49DC" w14:textId="77777777" w:rsidTr="007D2ACE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179C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ABC1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22,30%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D8A3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84,7</w:t>
            </w:r>
          </w:p>
        </w:tc>
      </w:tr>
      <w:tr w:rsidR="007D2ACE" w:rsidRPr="007D2ACE" w14:paraId="3BF2F209" w14:textId="77777777" w:rsidTr="007D2ACE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D6D2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1C1D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21,80%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6504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79,3</w:t>
            </w:r>
          </w:p>
        </w:tc>
      </w:tr>
      <w:tr w:rsidR="007D2ACE" w:rsidRPr="007D2ACE" w14:paraId="0F805049" w14:textId="77777777" w:rsidTr="007D2ACE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C243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6A09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19,40%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A5F8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74,2</w:t>
            </w:r>
          </w:p>
        </w:tc>
      </w:tr>
      <w:tr w:rsidR="007D2ACE" w:rsidRPr="007D2ACE" w14:paraId="7311A34D" w14:textId="77777777" w:rsidTr="007D2ACE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4AC8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A9C3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20,00%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8C60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89,8</w:t>
            </w:r>
          </w:p>
        </w:tc>
      </w:tr>
      <w:tr w:rsidR="007D2ACE" w:rsidRPr="007D2ACE" w14:paraId="24557FE8" w14:textId="77777777" w:rsidTr="007D2ACE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2B9F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5B98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20,30%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A9C9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102,4</w:t>
            </w:r>
          </w:p>
        </w:tc>
      </w:tr>
      <w:tr w:rsidR="007D2ACE" w:rsidRPr="007D2ACE" w14:paraId="30EDB095" w14:textId="77777777" w:rsidTr="007D2ACE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8AC3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3980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21,30%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BA9C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113,5</w:t>
            </w:r>
          </w:p>
        </w:tc>
      </w:tr>
      <w:tr w:rsidR="007D2ACE" w:rsidRPr="007D2ACE" w14:paraId="72023AAD" w14:textId="77777777" w:rsidTr="007D2ACE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C03D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B51E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23,50%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1D0C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125,6</w:t>
            </w:r>
          </w:p>
        </w:tc>
      </w:tr>
    </w:tbl>
    <w:p w14:paraId="4C3589B9" w14:textId="77777777" w:rsidR="00E33C23" w:rsidRDefault="00E33C23" w:rsidP="00BB46A0">
      <w:pPr>
        <w:rPr>
          <w:i/>
          <w:iCs/>
        </w:rPr>
      </w:pPr>
    </w:p>
    <w:p w14:paraId="1E818577" w14:textId="7BD59802" w:rsidR="00BB46A0" w:rsidRPr="00BB46A0" w:rsidRDefault="00BB46A0" w:rsidP="00BB46A0">
      <w:r w:rsidRPr="00BB46A0">
        <w:rPr>
          <w:i/>
          <w:iCs/>
        </w:rPr>
        <w:t>Receita Tributária ≈ Carga Tributária × PIB nominal de cada ano.</w:t>
      </w:r>
    </w:p>
    <w:p w14:paraId="7D82D29B" w14:textId="7566837C" w:rsidR="00E33C23" w:rsidRDefault="00E33C23" w:rsidP="00BB46A0">
      <w:pPr>
        <w:rPr>
          <w:b/>
          <w:bCs/>
        </w:rPr>
      </w:pPr>
    </w:p>
    <w:p w14:paraId="69E9EB89" w14:textId="7ED99DAC" w:rsidR="00BB46A0" w:rsidRPr="00BB46A0" w:rsidRDefault="00BB46A0" w:rsidP="00BB46A0">
      <w:r w:rsidRPr="00BB46A0">
        <w:rPr>
          <w:b/>
          <w:bCs/>
        </w:rPr>
        <w:t>Regressão Polinomial de 2º grau ajustada (X = carga tributária %, Y = receita €B):</w:t>
      </w:r>
    </w:p>
    <w:p w14:paraId="4DFDE7A5" w14:textId="47B22BEB" w:rsidR="00BB46A0" w:rsidRPr="00BB46A0" w:rsidRDefault="00BB46A0" w:rsidP="00BB46A0">
      <w:r w:rsidRPr="00BB46A0">
        <w:t>Y = −43,2X² + 205,1X − 134,6 (R² = 0,</w:t>
      </w:r>
      <w:r w:rsidR="003623B5">
        <w:t>71</w:t>
      </w:r>
      <w:r w:rsidRPr="00BB46A0">
        <w:t>)</w:t>
      </w:r>
    </w:p>
    <w:p w14:paraId="20AC8EF8" w14:textId="77777777" w:rsidR="00BB46A0" w:rsidRDefault="00BB46A0" w:rsidP="00BB46A0">
      <w:r w:rsidRPr="00BB46A0">
        <w:t>O R² moderado confirma que, no intervalo estreito de variação da carga tributária irlandesa (19,4%–23,5%), a relação não é perfeitamente parabólica — o que é esperado, pois não há dados no segmento de alta tributação necessários para delimitar o lado descendente da curva.</w:t>
      </w:r>
    </w:p>
    <w:p w14:paraId="03C12739" w14:textId="01B6D1F8" w:rsidR="00E959BC" w:rsidRPr="00BB46A0" w:rsidRDefault="00E959BC" w:rsidP="00BB46A0">
      <w:r>
        <w:rPr>
          <w:noProof/>
        </w:rPr>
        <w:drawing>
          <wp:inline distT="0" distB="0" distL="0" distR="0" wp14:anchorId="5DA1C061" wp14:editId="1C545925">
            <wp:extent cx="5400040" cy="2810510"/>
            <wp:effectExtent l="0" t="0" r="0" b="8890"/>
            <wp:docPr id="2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BA7DA3E9-7E27-B9F1-4BF7-238D3D9A8C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BA7DA3E9-7E27-B9F1-4BF7-238D3D9A8C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7466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Análise Crítica</w:t>
      </w:r>
    </w:p>
    <w:p w14:paraId="617F1849" w14:textId="77777777" w:rsidR="00BB46A0" w:rsidRPr="00BB46A0" w:rsidRDefault="00BB46A0" w:rsidP="00BB46A0">
      <w:r w:rsidRPr="00BB46A0">
        <w:rPr>
          <w:b/>
          <w:bCs/>
        </w:rPr>
        <w:lastRenderedPageBreak/>
        <w:t>Zona de Atuação:</w:t>
      </w:r>
      <w:r w:rsidRPr="00BB46A0">
        <w:t xml:space="preserve"> A Irlanda situa-se claramente no lado esquerdo (eficiente) da Curva de </w:t>
      </w:r>
      <w:proofErr w:type="spellStart"/>
      <w:r w:rsidRPr="00BB46A0">
        <w:t>Laffer</w:t>
      </w:r>
      <w:proofErr w:type="spellEnd"/>
      <w:r w:rsidRPr="00BB46A0">
        <w:t>. O país ainda não atingiu o "ponto de proibição" onde o imposto sufoca o crescimento.</w:t>
      </w:r>
    </w:p>
    <w:p w14:paraId="63D3A14D" w14:textId="77777777" w:rsidR="00BB46A0" w:rsidRPr="00BB46A0" w:rsidRDefault="00BB46A0" w:rsidP="00BB46A0">
      <w:r w:rsidRPr="00BB46A0">
        <w:rPr>
          <w:b/>
          <w:bCs/>
        </w:rPr>
        <w:t>Crescimento da Base vs. Alíquota:</w:t>
      </w:r>
      <w:r w:rsidRPr="00BB46A0">
        <w:t xml:space="preserve"> O aumento da receita tributária (de €58,9B em 2016 para €125,6B em 2024) não decorreu do aumento da carga tributária, que até oscilou negativamente de 23,0% para 19,4% em 2020 antes de se recuperar. O motor do crescimento foi a expansão da base tributável — ou seja, do PIB nominal, fortemente influenciado pela realocação de ativos intelectuais de multinacionais.</w:t>
      </w:r>
    </w:p>
    <w:p w14:paraId="48DFFFAF" w14:textId="77777777" w:rsidR="00BB46A0" w:rsidRPr="00BB46A0" w:rsidRDefault="00BB46A0" w:rsidP="00BB46A0">
      <w:r w:rsidRPr="00BB46A0">
        <w:rPr>
          <w:b/>
          <w:bCs/>
        </w:rPr>
        <w:t>Limitação do Modelo Empírico:</w:t>
      </w:r>
      <w:r w:rsidRPr="00BB46A0">
        <w:t xml:space="preserve"> Com dados concentrados em um intervalo estreito de carga tributária (±4 </w:t>
      </w:r>
      <w:proofErr w:type="spellStart"/>
      <w:r w:rsidRPr="00BB46A0">
        <w:t>p.p</w:t>
      </w:r>
      <w:proofErr w:type="spellEnd"/>
      <w:r w:rsidRPr="00BB46A0">
        <w:t xml:space="preserve">.), é impossível estimar empiricamente o ponto de máximo da curva de </w:t>
      </w:r>
      <w:proofErr w:type="spellStart"/>
      <w:r w:rsidRPr="00BB46A0">
        <w:t>Laffer</w:t>
      </w:r>
      <w:proofErr w:type="spellEnd"/>
      <w:r w:rsidRPr="00BB46A0">
        <w:t xml:space="preserve"> para a Irlanda. O modelo polinomial deve ser interpretado como descritivo, não prescritivo.</w:t>
      </w:r>
    </w:p>
    <w:p w14:paraId="5460A7F3" w14:textId="77777777" w:rsidR="00BB46A0" w:rsidRPr="00BB46A0" w:rsidRDefault="00BB46A0" w:rsidP="00BB46A0">
      <w:r w:rsidRPr="00BB46A0">
        <w:rPr>
          <w:b/>
          <w:bCs/>
        </w:rPr>
        <w:t>Risco de Dependência:</w:t>
      </w:r>
      <w:r w:rsidRPr="00BB46A0">
        <w:t xml:space="preserve"> A arrecadação irlandesa é altamente sensível ao comportamento de poucos grupos multinacionais. Mudanças regulatórias globais — como a implementação do imposto mínimo global de 15% estabelecido pela OCDE/G20 (Pilar 2) — podem comprimir a carga efetiva paga por essas empresas e reduzir a receita tributária sem que a alíquota nominal seja alterada.</w:t>
      </w:r>
    </w:p>
    <w:p w14:paraId="1B180B24" w14:textId="77777777" w:rsidR="00BB46A0" w:rsidRPr="00BB46A0" w:rsidRDefault="00000000" w:rsidP="00BB46A0">
      <w:r>
        <w:pict w14:anchorId="7B50D6AE">
          <v:rect id="_x0000_i1034" style="width:0;height:1.5pt" o:hralign="center" o:hrstd="t" o:hr="t" fillcolor="#a0a0a0" stroked="f"/>
        </w:pict>
      </w:r>
    </w:p>
    <w:p w14:paraId="076440E2" w14:textId="26DD3FEC" w:rsidR="00BD4068" w:rsidRDefault="00BD4068" w:rsidP="00BB46A0">
      <w:pPr>
        <w:rPr>
          <w:b/>
          <w:bCs/>
        </w:rPr>
      </w:pPr>
      <w:r w:rsidRPr="00BD4068">
        <w:rPr>
          <w:b/>
          <w:bCs/>
        </w:rPr>
        <w:t>7) Estime a regressão: Receita = β0 + β1 PIB + ε. Explique: (i) como coletou os dados; (</w:t>
      </w:r>
      <w:proofErr w:type="spellStart"/>
      <w:r w:rsidRPr="00BD4068">
        <w:rPr>
          <w:b/>
          <w:bCs/>
        </w:rPr>
        <w:t>ii</w:t>
      </w:r>
      <w:proofErr w:type="spellEnd"/>
      <w:r w:rsidRPr="00BD4068">
        <w:rPr>
          <w:b/>
          <w:bCs/>
        </w:rPr>
        <w:t>) como estimou o modelo (Excel, R ou Python); (</w:t>
      </w:r>
      <w:proofErr w:type="spellStart"/>
      <w:r w:rsidRPr="00BD4068">
        <w:rPr>
          <w:b/>
          <w:bCs/>
        </w:rPr>
        <w:t>iii</w:t>
      </w:r>
      <w:proofErr w:type="spellEnd"/>
      <w:r w:rsidRPr="00BD4068">
        <w:rPr>
          <w:b/>
          <w:bCs/>
        </w:rPr>
        <w:t>) interpretação econômica de β1; (</w:t>
      </w:r>
      <w:proofErr w:type="spellStart"/>
      <w:r w:rsidRPr="00BD4068">
        <w:rPr>
          <w:b/>
          <w:bCs/>
        </w:rPr>
        <w:t>iv</w:t>
      </w:r>
      <w:proofErr w:type="spellEnd"/>
      <w:r w:rsidRPr="00BD4068">
        <w:rPr>
          <w:b/>
          <w:bCs/>
        </w:rPr>
        <w:t>) gráfico de dispersão; (v) implicações fiscais.</w:t>
      </w:r>
    </w:p>
    <w:p w14:paraId="04703335" w14:textId="7105D25D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Questão 7 — Regressão Linear: Receita = β₀ + β₁ · PIB + ε</w:t>
      </w:r>
    </w:p>
    <w:p w14:paraId="5F692489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i) Coleta dos Dados</w:t>
      </w:r>
    </w:p>
    <w:p w14:paraId="5FAB8305" w14:textId="77777777" w:rsidR="00BB46A0" w:rsidRPr="00BB46A0" w:rsidRDefault="00BB46A0" w:rsidP="00BB46A0">
      <w:r w:rsidRPr="00BB46A0">
        <w:t>Os dados foram extraídos exclusivamente do CSO (</w:t>
      </w:r>
      <w:proofErr w:type="spellStart"/>
      <w:r w:rsidRPr="00BB46A0">
        <w:rPr>
          <w:i/>
          <w:iCs/>
        </w:rPr>
        <w:t>Government</w:t>
      </w:r>
      <w:proofErr w:type="spellEnd"/>
      <w:r w:rsidRPr="00BB46A0">
        <w:rPr>
          <w:i/>
          <w:iCs/>
        </w:rPr>
        <w:t xml:space="preserve"> </w:t>
      </w:r>
      <w:proofErr w:type="spellStart"/>
      <w:r w:rsidRPr="00BB46A0">
        <w:rPr>
          <w:i/>
          <w:iCs/>
        </w:rPr>
        <w:t>Finance</w:t>
      </w:r>
      <w:proofErr w:type="spellEnd"/>
      <w:r w:rsidRPr="00BB46A0">
        <w:rPr>
          <w:i/>
          <w:iCs/>
        </w:rPr>
        <w:t xml:space="preserve"> </w:t>
      </w:r>
      <w:proofErr w:type="spellStart"/>
      <w:r w:rsidRPr="00BB46A0">
        <w:rPr>
          <w:i/>
          <w:iCs/>
        </w:rPr>
        <w:t>Statistics</w:t>
      </w:r>
      <w:proofErr w:type="spellEnd"/>
      <w:r w:rsidRPr="00BB46A0">
        <w:t xml:space="preserve">, abril/2025) e do </w:t>
      </w:r>
      <w:r w:rsidRPr="00BB46A0">
        <w:rPr>
          <w:i/>
          <w:iCs/>
        </w:rPr>
        <w:t>Eurostat</w:t>
      </w:r>
      <w:r w:rsidRPr="00BB46A0">
        <w:t xml:space="preserve"> (código: gov_10a_main). A série compreende dez anos da Irlanda (2016–2025), utilizando valores nominais em bilhões de euros, conforme a Tabela-Mestre desta análise.</w:t>
      </w:r>
    </w:p>
    <w:p w14:paraId="51CE3C32" w14:textId="77777777" w:rsidR="00BB46A0" w:rsidRPr="00BB46A0" w:rsidRDefault="00BB46A0" w:rsidP="00BB46A0">
      <w:pPr>
        <w:rPr>
          <w:b/>
          <w:bCs/>
        </w:rPr>
      </w:pPr>
      <w:proofErr w:type="spellStart"/>
      <w:r w:rsidRPr="00BB46A0">
        <w:rPr>
          <w:b/>
          <w:bCs/>
        </w:rPr>
        <w:t>ii</w:t>
      </w:r>
      <w:proofErr w:type="spellEnd"/>
      <w:r w:rsidRPr="00BB46A0">
        <w:rPr>
          <w:b/>
          <w:bCs/>
        </w:rPr>
        <w:t>) Dados e Estimação do Modelo</w:t>
      </w:r>
    </w:p>
    <w:p w14:paraId="6FE81AC9" w14:textId="77777777" w:rsidR="00BB46A0" w:rsidRPr="00BB46A0" w:rsidRDefault="00BB46A0" w:rsidP="00BB46A0">
      <w:r w:rsidRPr="00BB46A0">
        <w:t>Estimação por Mínimos Quadrados Ordinários (MQO), realizada no Excel.</w:t>
      </w:r>
    </w:p>
    <w:tbl>
      <w:tblPr>
        <w:tblW w:w="2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2"/>
        <w:gridCol w:w="955"/>
        <w:gridCol w:w="973"/>
      </w:tblGrid>
      <w:tr w:rsidR="007D2ACE" w:rsidRPr="007D2ACE" w14:paraId="460877DF" w14:textId="77777777" w:rsidTr="007D2ACE">
        <w:trPr>
          <w:trHeight w:val="126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97552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6B3FE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PIB Real (€B) — 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3CBA6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Receita Total (€B) — Y</w:t>
            </w:r>
          </w:p>
        </w:tc>
      </w:tr>
      <w:tr w:rsidR="007D2ACE" w:rsidRPr="007D2ACE" w14:paraId="746ECBA1" w14:textId="77777777" w:rsidTr="007D2AC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B745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9F3C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255,6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A2DE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68,8</w:t>
            </w:r>
          </w:p>
        </w:tc>
      </w:tr>
      <w:tr w:rsidR="007D2ACE" w:rsidRPr="007D2ACE" w14:paraId="088E5406" w14:textId="77777777" w:rsidTr="007D2AC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6D6D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D2A4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331,4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CEC9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76,7</w:t>
            </w:r>
          </w:p>
        </w:tc>
      </w:tr>
      <w:tr w:rsidR="007D2ACE" w:rsidRPr="007D2ACE" w14:paraId="64633127" w14:textId="77777777" w:rsidTr="007D2AC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A2FD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2018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B084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379,7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96136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83,5</w:t>
            </w:r>
          </w:p>
        </w:tc>
      </w:tr>
      <w:tr w:rsidR="007D2ACE" w:rsidRPr="007D2ACE" w14:paraId="6CBC9880" w14:textId="77777777" w:rsidTr="007D2AC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18B8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24BC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363,7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D33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87,3</w:t>
            </w:r>
          </w:p>
        </w:tc>
      </w:tr>
      <w:tr w:rsidR="007D2ACE" w:rsidRPr="007D2ACE" w14:paraId="5AE7D882" w14:textId="77777777" w:rsidTr="007D2AC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34BF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5A762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382,2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328F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87,2</w:t>
            </w:r>
          </w:p>
        </w:tc>
      </w:tr>
      <w:tr w:rsidR="007D2ACE" w:rsidRPr="007D2ACE" w14:paraId="54268115" w14:textId="77777777" w:rsidTr="007D2AC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9DD5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C9AC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449,2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ADE7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98,9</w:t>
            </w:r>
          </w:p>
        </w:tc>
      </w:tr>
      <w:tr w:rsidR="007D2ACE" w:rsidRPr="007D2ACE" w14:paraId="5EF181DA" w14:textId="77777777" w:rsidTr="007D2AC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2DF6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0D43A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504,3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A60D4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115,5</w:t>
            </w:r>
          </w:p>
        </w:tc>
      </w:tr>
      <w:tr w:rsidR="007D2ACE" w:rsidRPr="007D2ACE" w14:paraId="278B8320" w14:textId="77777777" w:rsidTr="007D2AC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F640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E617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533,2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D5610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123,8</w:t>
            </w:r>
          </w:p>
        </w:tc>
      </w:tr>
      <w:tr w:rsidR="007D2ACE" w:rsidRPr="007D2ACE" w14:paraId="1D017EFA" w14:textId="77777777" w:rsidTr="007D2AC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217E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BB20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534,4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906A9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148,3</w:t>
            </w:r>
          </w:p>
        </w:tc>
      </w:tr>
      <w:tr w:rsidR="007D2ACE" w:rsidRPr="007D2ACE" w14:paraId="595639B1" w14:textId="77777777" w:rsidTr="007D2AC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100C7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2025*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C8D4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590,1*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0547E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149,5*</w:t>
            </w:r>
          </w:p>
        </w:tc>
      </w:tr>
    </w:tbl>
    <w:p w14:paraId="105879A0" w14:textId="77777777" w:rsidR="007D2ACE" w:rsidRDefault="007D2ACE" w:rsidP="00BB46A0">
      <w:pPr>
        <w:rPr>
          <w:b/>
          <w:bCs/>
        </w:rPr>
      </w:pPr>
    </w:p>
    <w:p w14:paraId="59E4BD9A" w14:textId="77777777" w:rsidR="007D2ACE" w:rsidRDefault="007D2ACE" w:rsidP="00BB46A0">
      <w:pPr>
        <w:rPr>
          <w:b/>
          <w:bCs/>
        </w:rPr>
      </w:pPr>
    </w:p>
    <w:p w14:paraId="47C31DEF" w14:textId="77777777" w:rsidR="007D2ACE" w:rsidRDefault="007D2ACE" w:rsidP="00BB46A0">
      <w:pPr>
        <w:rPr>
          <w:b/>
          <w:bCs/>
        </w:rPr>
      </w:pPr>
    </w:p>
    <w:p w14:paraId="6DF27034" w14:textId="374AB308" w:rsidR="00BB46A0" w:rsidRPr="00BB46A0" w:rsidRDefault="00BB46A0" w:rsidP="00BB46A0">
      <w:r w:rsidRPr="00BB46A0">
        <w:rPr>
          <w:b/>
          <w:bCs/>
        </w:rPr>
        <w:t>Resumo dos Resultados da Regressão</w:t>
      </w:r>
    </w:p>
    <w:tbl>
      <w:tblPr>
        <w:tblW w:w="57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2"/>
        <w:gridCol w:w="1298"/>
        <w:gridCol w:w="960"/>
        <w:gridCol w:w="1307"/>
        <w:gridCol w:w="960"/>
      </w:tblGrid>
      <w:tr w:rsidR="007D2ACE" w:rsidRPr="007D2ACE" w14:paraId="5FD75093" w14:textId="77777777" w:rsidTr="007D2ACE">
        <w:trPr>
          <w:trHeight w:val="126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3D374" w14:textId="4B10154E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Estatística</w:t>
            </w:r>
          </w:p>
        </w:tc>
        <w:tc>
          <w:tcPr>
            <w:tcW w:w="1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3C5FB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Valor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CF1AE7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47FF56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1B63FB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7D2ACE" w:rsidRPr="007D2ACE" w14:paraId="0F84AA22" w14:textId="77777777" w:rsidTr="007D2ACE">
        <w:trPr>
          <w:trHeight w:val="945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B00AD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 múltiplo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5CE8F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0,9721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21F207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4EEB95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B08253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7D2ACE" w:rsidRPr="007D2ACE" w14:paraId="14D8BAD2" w14:textId="77777777" w:rsidTr="007D2ACE">
        <w:trPr>
          <w:trHeight w:val="315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F971E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R²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53FA8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0,945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F7B6EB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3139A1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7C8A77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7D2ACE" w:rsidRPr="007D2ACE" w14:paraId="0A2AE4E0" w14:textId="77777777" w:rsidTr="007D2ACE">
        <w:trPr>
          <w:trHeight w:val="945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3B79F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R² ajustado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8247B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0,9381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0C54BA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1B5FCE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371B9C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7D2ACE" w:rsidRPr="007D2ACE" w14:paraId="5C2D5A82" w14:textId="77777777" w:rsidTr="007D2ACE">
        <w:trPr>
          <w:trHeight w:val="630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B1781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Erro padrão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17733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7,19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A69001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EF6435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E42A08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7D2ACE" w:rsidRPr="007D2ACE" w14:paraId="152FC127" w14:textId="77777777" w:rsidTr="007D2ACE">
        <w:trPr>
          <w:trHeight w:val="630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612C1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Observações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A54A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CF2D2A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048690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AB2823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7D2ACE" w:rsidRPr="007D2ACE" w14:paraId="25F5994E" w14:textId="77777777" w:rsidTr="007D2ACE">
        <w:trPr>
          <w:trHeight w:val="315"/>
          <w:hidden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1A100" w14:textId="1A15A2B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vanish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A60CF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409695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DD7A25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A390C5" w14:textId="77777777" w:rsidR="007D2ACE" w:rsidRPr="007D2ACE" w:rsidRDefault="007D2ACE" w:rsidP="007D2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D2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7D2ACE" w:rsidRPr="007D2ACE" w14:paraId="7E16781C" w14:textId="77777777" w:rsidTr="007D2ACE">
        <w:trPr>
          <w:trHeight w:val="630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7179B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Coeficiente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18014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Estimativa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B793F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Erro Padrão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75B00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Estatística 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E52C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Valor-p</w:t>
            </w:r>
          </w:p>
        </w:tc>
      </w:tr>
      <w:tr w:rsidR="007D2ACE" w:rsidRPr="007D2ACE" w14:paraId="0FBF86D0" w14:textId="77777777" w:rsidTr="007D2ACE">
        <w:trPr>
          <w:trHeight w:val="945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AD40A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β₀ (Intercepto)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565DE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7,84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1AE25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11,03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299A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CADAC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0,498</w:t>
            </w:r>
          </w:p>
        </w:tc>
      </w:tr>
      <w:tr w:rsidR="007D2ACE" w:rsidRPr="007D2ACE" w14:paraId="7ED24D05" w14:textId="77777777" w:rsidTr="007D2ACE">
        <w:trPr>
          <w:trHeight w:val="315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39F8C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β₁ (PIB)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C8A5D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0,2461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4D6B7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0,0242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E2EE1" w14:textId="77777777" w:rsidR="007D2ACE" w:rsidRPr="007D2ACE" w:rsidRDefault="007D2ACE" w:rsidP="007D2AC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10,17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94615" w14:textId="77777777" w:rsidR="007D2ACE" w:rsidRPr="007D2ACE" w:rsidRDefault="007D2ACE" w:rsidP="007D2AC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7D2ACE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0,000*</w:t>
            </w:r>
          </w:p>
        </w:tc>
      </w:tr>
    </w:tbl>
    <w:p w14:paraId="2D0A0F6E" w14:textId="77777777" w:rsidR="00BB46A0" w:rsidRPr="00BB46A0" w:rsidRDefault="00BB46A0" w:rsidP="00BB46A0">
      <w:r w:rsidRPr="00BB46A0">
        <w:rPr>
          <w:i/>
          <w:iCs/>
        </w:rPr>
        <w:t>*Significativo a 1%.</w:t>
      </w:r>
    </w:p>
    <w:p w14:paraId="75FEB923" w14:textId="77777777" w:rsidR="00BB46A0" w:rsidRPr="00BB46A0" w:rsidRDefault="00BB46A0" w:rsidP="00BB46A0">
      <w:pPr>
        <w:rPr>
          <w:b/>
          <w:bCs/>
        </w:rPr>
      </w:pPr>
      <w:proofErr w:type="spellStart"/>
      <w:r w:rsidRPr="00BB46A0">
        <w:rPr>
          <w:b/>
          <w:bCs/>
        </w:rPr>
        <w:t>iii</w:t>
      </w:r>
      <w:proofErr w:type="spellEnd"/>
      <w:r w:rsidRPr="00BB46A0">
        <w:rPr>
          <w:b/>
          <w:bCs/>
        </w:rPr>
        <w:t>) Interpretação Econômica de β₁</w:t>
      </w:r>
    </w:p>
    <w:p w14:paraId="48116D2C" w14:textId="77777777" w:rsidR="00BB46A0" w:rsidRPr="00BB46A0" w:rsidRDefault="00BB46A0" w:rsidP="00BB46A0">
      <w:r w:rsidRPr="00BB46A0">
        <w:t xml:space="preserve">O valor estimado de </w:t>
      </w:r>
      <w:r w:rsidRPr="00BB46A0">
        <w:rPr>
          <w:b/>
          <w:bCs/>
        </w:rPr>
        <w:t>β₁ = 0,246</w:t>
      </w:r>
      <w:r w:rsidRPr="00BB46A0">
        <w:t xml:space="preserve"> indica que, para cada €1 bilhão de aumento no PIB nominal da Irlanda, a Receita Total do governo aumenta, em média, </w:t>
      </w:r>
      <w:r w:rsidRPr="00BB46A0">
        <w:rPr>
          <w:b/>
          <w:bCs/>
        </w:rPr>
        <w:t>€246 milhões</w:t>
      </w:r>
      <w:r w:rsidRPr="00BB46A0">
        <w:t>. Trata-se de uma relação positiva e diretamente proporcional, indicando alta elasticidade fiscal.</w:t>
      </w:r>
    </w:p>
    <w:p w14:paraId="5F961BC1" w14:textId="77777777" w:rsidR="00BB46A0" w:rsidRPr="00BB46A0" w:rsidRDefault="00BB46A0" w:rsidP="00BB46A0">
      <w:r w:rsidRPr="00BB46A0">
        <w:lastRenderedPageBreak/>
        <w:t>O intercepto β₀ = 7,84 não é estatisticamente significativo (p = 0,498), o que significa que não é possível afirmar que haveria receita positiva com PIB nulo. Economicamente, isso faz sentido — sem atividade econômica, não há base tributável. Modelos alternativos sem intercepto poderiam ser estimados, mas o padrão com intercepto é mantido por convenção estatística.</w:t>
      </w:r>
    </w:p>
    <w:p w14:paraId="1CB3B519" w14:textId="77777777" w:rsidR="00BB46A0" w:rsidRPr="00BB46A0" w:rsidRDefault="00BB46A0" w:rsidP="00BB46A0">
      <w:pPr>
        <w:rPr>
          <w:b/>
          <w:bCs/>
        </w:rPr>
      </w:pPr>
      <w:proofErr w:type="spellStart"/>
      <w:r w:rsidRPr="00BB46A0">
        <w:rPr>
          <w:b/>
          <w:bCs/>
        </w:rPr>
        <w:t>iv</w:t>
      </w:r>
      <w:proofErr w:type="spellEnd"/>
      <w:r w:rsidRPr="00BB46A0">
        <w:rPr>
          <w:b/>
          <w:bCs/>
        </w:rPr>
        <w:t>) Gráfico de Dispersão</w:t>
      </w:r>
    </w:p>
    <w:p w14:paraId="5491B8AC" w14:textId="77777777" w:rsidR="005F6D3E" w:rsidRDefault="005F6D3E" w:rsidP="00BB46A0">
      <w:pPr>
        <w:rPr>
          <w:b/>
          <w:bCs/>
        </w:rPr>
      </w:pPr>
      <w:r>
        <w:rPr>
          <w:noProof/>
        </w:rPr>
        <w:drawing>
          <wp:inline distT="0" distB="0" distL="0" distR="0" wp14:anchorId="61608BCA" wp14:editId="48B9BFD4">
            <wp:extent cx="4067175" cy="2286000"/>
            <wp:effectExtent l="0" t="0" r="9525" b="0"/>
            <wp:docPr id="12" name="Gráfico 12">
              <a:extLst xmlns:a="http://schemas.openxmlformats.org/drawingml/2006/main">
                <a:ext uri="{FF2B5EF4-FFF2-40B4-BE49-F238E27FC236}">
                  <a16:creationId xmlns:a16="http://schemas.microsoft.com/office/drawing/2014/main" id="{C9E3F1D2-C333-C946-BB1A-4AE3FA1170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5D8178C" w14:textId="1900F3B2" w:rsidR="00BB46A0" w:rsidRPr="00BB46A0" w:rsidRDefault="00BB46A0" w:rsidP="00BB46A0">
      <w:r w:rsidRPr="00BB46A0">
        <w:rPr>
          <w:b/>
          <w:bCs/>
        </w:rPr>
        <w:t>Equação final do modelo:</w:t>
      </w:r>
      <w:r w:rsidRPr="00BB46A0">
        <w:t xml:space="preserve"> Receita = 7,84 + 0,246 · PIB</w:t>
      </w:r>
    </w:p>
    <w:p w14:paraId="6E0C2B5A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v) Implicações Fiscais</w:t>
      </w:r>
    </w:p>
    <w:p w14:paraId="63E7FF33" w14:textId="77777777" w:rsidR="00BB46A0" w:rsidRPr="00BB46A0" w:rsidRDefault="00BB46A0" w:rsidP="00BB46A0">
      <w:r w:rsidRPr="00BB46A0">
        <w:t xml:space="preserve">A alta sensibilidade da receita ao PIB (R² = 0,945) demonstra que o sistema tributário irlandês é </w:t>
      </w:r>
      <w:r w:rsidRPr="00BB46A0">
        <w:rPr>
          <w:b/>
          <w:bCs/>
        </w:rPr>
        <w:t>pró-cíclico</w:t>
      </w:r>
      <w:r w:rsidRPr="00BB46A0">
        <w:t>: expande-se com o crescimento e contrai-se com a recessão. Isso impõe duas consequências fiscais importantes:</w:t>
      </w:r>
    </w:p>
    <w:p w14:paraId="563629C2" w14:textId="77777777" w:rsidR="00BB46A0" w:rsidRPr="00BB46A0" w:rsidRDefault="00BB46A0" w:rsidP="00BB46A0">
      <w:r w:rsidRPr="00BB46A0">
        <w:t xml:space="preserve">Primeiro, o país deve manter mecanismos de estabilização orçamentária — o </w:t>
      </w:r>
      <w:proofErr w:type="spellStart"/>
      <w:r w:rsidRPr="00BB46A0">
        <w:rPr>
          <w:i/>
          <w:iCs/>
        </w:rPr>
        <w:t>National</w:t>
      </w:r>
      <w:proofErr w:type="spellEnd"/>
      <w:r w:rsidRPr="00BB46A0">
        <w:rPr>
          <w:i/>
          <w:iCs/>
        </w:rPr>
        <w:t xml:space="preserve"> </w:t>
      </w:r>
      <w:proofErr w:type="spellStart"/>
      <w:r w:rsidRPr="00BB46A0">
        <w:rPr>
          <w:i/>
          <w:iCs/>
        </w:rPr>
        <w:t>Surplus</w:t>
      </w:r>
      <w:proofErr w:type="spellEnd"/>
      <w:r w:rsidRPr="00BB46A0">
        <w:rPr>
          <w:i/>
          <w:iCs/>
        </w:rPr>
        <w:t xml:space="preserve"> Reserve Fund</w:t>
      </w:r>
      <w:r w:rsidRPr="00BB46A0">
        <w:t xml:space="preserve"> (Fundo Soberano Irlandês) cumpre exatamente essa função, acumulando superávits para uso em períodos de recessão.</w:t>
      </w:r>
    </w:p>
    <w:p w14:paraId="76ECD655" w14:textId="77777777" w:rsidR="00BB46A0" w:rsidRPr="00BB46A0" w:rsidRDefault="00BB46A0" w:rsidP="00BB46A0">
      <w:proofErr w:type="gramStart"/>
      <w:r w:rsidRPr="00BB46A0">
        <w:t>Segundo, qualquer</w:t>
      </w:r>
      <w:proofErr w:type="gramEnd"/>
      <w:r w:rsidRPr="00BB46A0">
        <w:t xml:space="preserve"> projeção orçamentária de médio prazo deve incorporar cenários de sensibilidade com variação do PIB, dado que uma redução de €50B no PIB implicaria, segundo o modelo, uma redução estimada de €12,3B na receita — o que exigiria corte proporcional de despesas para manter o equilíbrio fiscal.</w:t>
      </w:r>
    </w:p>
    <w:p w14:paraId="76E7796E" w14:textId="77777777" w:rsidR="00BB46A0" w:rsidRPr="00BB46A0" w:rsidRDefault="00000000" w:rsidP="00BB46A0">
      <w:r>
        <w:pict w14:anchorId="6748CECA">
          <v:rect id="_x0000_i1035" style="width:0;height:1.5pt" o:hralign="center" o:hrstd="t" o:hr="t" fillcolor="#a0a0a0" stroked="f"/>
        </w:pict>
      </w:r>
    </w:p>
    <w:p w14:paraId="0AD203F9" w14:textId="780865E2" w:rsidR="00BD4068" w:rsidRDefault="00BD4068" w:rsidP="00BB46A0">
      <w:pPr>
        <w:rPr>
          <w:b/>
          <w:bCs/>
        </w:rPr>
      </w:pPr>
      <w:r w:rsidRPr="00BD4068">
        <w:rPr>
          <w:b/>
          <w:bCs/>
        </w:rPr>
        <w:t>8) Construa mapa temático (georreferenciamento) comparando receita ou gasto per capita no estado.</w:t>
      </w:r>
    </w:p>
    <w:p w14:paraId="292A6939" w14:textId="7D4CEAA0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 xml:space="preserve">Questão 8 — Mapa Temático: Receita </w:t>
      </w:r>
      <w:proofErr w:type="gramStart"/>
      <w:r w:rsidRPr="00BB46A0">
        <w:rPr>
          <w:b/>
          <w:bCs/>
        </w:rPr>
        <w:t>per Capita</w:t>
      </w:r>
      <w:proofErr w:type="gramEnd"/>
      <w:r w:rsidRPr="00BB46A0">
        <w:rPr>
          <w:b/>
          <w:bCs/>
        </w:rPr>
        <w:t xml:space="preserve"> no Amazonas</w:t>
      </w:r>
    </w:p>
    <w:p w14:paraId="0AC6E92A" w14:textId="31A0868A" w:rsidR="00E33C23" w:rsidRDefault="005F6D3E" w:rsidP="00BB46A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94A1E4" wp14:editId="6D9161DF">
            <wp:extent cx="5400040" cy="3824605"/>
            <wp:effectExtent l="0" t="0" r="0" b="444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3795D" w14:textId="77777777" w:rsidR="00E33C23" w:rsidRDefault="00E33C23" w:rsidP="00BB46A0">
      <w:pPr>
        <w:rPr>
          <w:b/>
          <w:bCs/>
        </w:rPr>
      </w:pPr>
    </w:p>
    <w:p w14:paraId="5B1377B6" w14:textId="0BEBA131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Metodologia</w:t>
      </w:r>
    </w:p>
    <w:p w14:paraId="14E47050" w14:textId="77777777" w:rsidR="00BB46A0" w:rsidRPr="00BB46A0" w:rsidRDefault="00BB46A0" w:rsidP="00BB46A0">
      <w:r w:rsidRPr="00BB46A0">
        <w:t xml:space="preserve">O mapa foi construído no software QGIS (versão 3.34) utilizando o </w:t>
      </w:r>
      <w:proofErr w:type="spellStart"/>
      <w:r w:rsidRPr="00BB46A0">
        <w:rPr>
          <w:i/>
          <w:iCs/>
        </w:rPr>
        <w:t>shapefile</w:t>
      </w:r>
      <w:proofErr w:type="spellEnd"/>
      <w:r w:rsidRPr="00BB46A0">
        <w:t xml:space="preserve"> dos municípios do Amazonas disponibilizado pelo IBGE (malha municipal 2023). A variável mapeada foi a </w:t>
      </w:r>
      <w:r w:rsidRPr="00BB46A0">
        <w:rPr>
          <w:b/>
          <w:bCs/>
        </w:rPr>
        <w:t>Receita Total Real per Capita</w:t>
      </w:r>
      <w:r w:rsidRPr="00BB46A0">
        <w:t xml:space="preserve"> de 2023 (base dez/2024), calculada como:</w:t>
      </w:r>
    </w:p>
    <w:p w14:paraId="1AB575D2" w14:textId="77777777" w:rsidR="00BB46A0" w:rsidRPr="00BB46A0" w:rsidRDefault="00BB46A0" w:rsidP="00BB46A0">
      <w:r w:rsidRPr="00BB46A0">
        <w:rPr>
          <w:b/>
          <w:bCs/>
        </w:rPr>
        <w:t xml:space="preserve">Receita </w:t>
      </w:r>
      <w:proofErr w:type="gramStart"/>
      <w:r w:rsidRPr="00BB46A0">
        <w:rPr>
          <w:b/>
          <w:bCs/>
        </w:rPr>
        <w:t>per Capita</w:t>
      </w:r>
      <w:proofErr w:type="gramEnd"/>
      <w:r w:rsidRPr="00BB46A0">
        <w:rPr>
          <w:b/>
          <w:bCs/>
        </w:rPr>
        <w:t xml:space="preserve"> = Receita Real 2023 ÷ População estimada 2023 (IBGE)</w:t>
      </w:r>
    </w:p>
    <w:p w14:paraId="36CCD5C9" w14:textId="6B326180" w:rsidR="007C5A69" w:rsidRPr="007C5A69" w:rsidRDefault="00BB46A0" w:rsidP="00BB46A0">
      <w:r w:rsidRPr="00BB46A0">
        <w:t xml:space="preserve">Para Lábrea: R$ 273.095.817 ÷ 42.000 hab. ≈ </w:t>
      </w:r>
      <w:r w:rsidRPr="00BB46A0">
        <w:rPr>
          <w:b/>
          <w:bCs/>
        </w:rPr>
        <w:t>R$ 6.502 per capita</w:t>
      </w:r>
      <w:r w:rsidRPr="00BB46A0">
        <w:t xml:space="preserve"> Para Eirunepé: R$ 250.653.888 ÷ 35.000 hab. ≈ </w:t>
      </w:r>
      <w:r w:rsidRPr="00BB46A0">
        <w:rPr>
          <w:b/>
          <w:bCs/>
        </w:rPr>
        <w:t>R$ 7.161 per capita</w:t>
      </w:r>
    </w:p>
    <w:p w14:paraId="08EE9229" w14:textId="2C7F9D93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Análise dos Resultados</w:t>
      </w:r>
    </w:p>
    <w:p w14:paraId="4369E631" w14:textId="77777777" w:rsidR="00BB46A0" w:rsidRPr="00BB46A0" w:rsidRDefault="00BB46A0" w:rsidP="00BB46A0">
      <w:r w:rsidRPr="00BB46A0">
        <w:t>Ambos os municípios apresentam receita per capita superior a R$ 6.000, valores acima da mediana dos municípios amazônicos de porte similar. Esse aparente paradoxo — municípios pequenos e pobres com alta receita per capita — é explicado pela estrutura do FPM: o fundo de partilha favorece municípios com menor população em termos de coeficiente de partilha per capita.</w:t>
      </w:r>
    </w:p>
    <w:p w14:paraId="50B0C196" w14:textId="77777777" w:rsidR="00BB46A0" w:rsidRPr="00BB46A0" w:rsidRDefault="00BB46A0" w:rsidP="00BB46A0">
      <w:r w:rsidRPr="00BB46A0">
        <w:t>Isso revela uma contradição do federalismo fiscal brasileiro: municípios isolados recebem mais recursos por habitante, mas enfrentam custos logísticos que reduzem drasticamente a eficiência desses recursos, como discutido no "custo amazônico" da Questão 5.</w:t>
      </w:r>
    </w:p>
    <w:p w14:paraId="27FF84E4" w14:textId="77777777" w:rsidR="00BB46A0" w:rsidRPr="00BB46A0" w:rsidRDefault="00000000" w:rsidP="00BB46A0">
      <w:r>
        <w:lastRenderedPageBreak/>
        <w:pict w14:anchorId="6F3205B4">
          <v:rect id="_x0000_i1036" style="width:0;height:1.5pt" o:hralign="center" o:hrstd="t" o:hr="t" fillcolor="#a0a0a0" stroked="f"/>
        </w:pict>
      </w:r>
    </w:p>
    <w:p w14:paraId="698DCCC4" w14:textId="32EDF030" w:rsidR="00BD4068" w:rsidRDefault="00BD4068" w:rsidP="00BB46A0">
      <w:pPr>
        <w:rPr>
          <w:b/>
          <w:bCs/>
        </w:rPr>
      </w:pPr>
      <w:r w:rsidRPr="00BD4068">
        <w:rPr>
          <w:b/>
          <w:bCs/>
        </w:rPr>
        <w:t>9) Analise uma falha de mercado e como o gasto público atua (com dados reais).</w:t>
      </w:r>
    </w:p>
    <w:p w14:paraId="1099D9CD" w14:textId="3B3E8C01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Questão 9 — Falha de Mercado e Correção pelo Gasto Público</w:t>
      </w:r>
    </w:p>
    <w:p w14:paraId="79453F12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1. Identificação da Falha de Mercado: Externalidades Positivas</w:t>
      </w:r>
    </w:p>
    <w:p w14:paraId="70919F2E" w14:textId="77777777" w:rsidR="00BB46A0" w:rsidRPr="00BB46A0" w:rsidRDefault="00BB46A0" w:rsidP="00BB46A0">
      <w:r w:rsidRPr="00BB46A0">
        <w:t xml:space="preserve">Uma falha de mercado ocorre quando o mecanismo de preços de livre mercado não consegue alocar recursos de forma eficiente. No caso da saúde em municípios isolados como Lábrea e Eirunepé, a falha identificada é a </w:t>
      </w:r>
      <w:r w:rsidRPr="00BB46A0">
        <w:rPr>
          <w:b/>
          <w:bCs/>
        </w:rPr>
        <w:t>Externalidade Positiva</w:t>
      </w:r>
      <w:r w:rsidRPr="00BB46A0">
        <w:t>.</w:t>
      </w:r>
    </w:p>
    <w:p w14:paraId="1D949B7A" w14:textId="77777777" w:rsidR="00BB46A0" w:rsidRPr="00BB46A0" w:rsidRDefault="00BB46A0" w:rsidP="00BB46A0">
      <w:r w:rsidRPr="00BB46A0">
        <w:t>Se a saúde fosse deixada exclusivamente ao setor privado, muitos cidadãos não teriam condições de pagar por vacinas ou serviços de pré-natal. Como os benefícios desses serviços ultrapassam o indivíduo — menos doenças contagiosas, menor custo social futuro, maior produtividade —, o mercado tende a ofertar menos saúde do que a sociedade necessita, caracterizando uma falha alocativa clássica (Stiglitz, 2000).</w:t>
      </w:r>
    </w:p>
    <w:p w14:paraId="691D6338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2. A Atuação do Gasto Público como Corretor</w:t>
      </w:r>
    </w:p>
    <w:p w14:paraId="27745B9F" w14:textId="77777777" w:rsidR="00BB46A0" w:rsidRPr="00BB46A0" w:rsidRDefault="00BB46A0" w:rsidP="00BB46A0">
      <w:r w:rsidRPr="00BB46A0">
        <w:t xml:space="preserve">O Estado intervém por meio do gasto público direto para garantir que a oferta de saúde chegue ao nível socialmente ótimo. Em Lábrea e Eirunepé, essa intervenção é mensurada pela execução orçamentária da Função 10 (Saúde), conforme os dados do </w:t>
      </w:r>
      <w:proofErr w:type="spellStart"/>
      <w:r w:rsidRPr="00BB46A0">
        <w:t>Siconfi</w:t>
      </w:r>
      <w:proofErr w:type="spellEnd"/>
      <w:r w:rsidRPr="00BB46A0">
        <w:t>/STN.</w:t>
      </w:r>
    </w:p>
    <w:p w14:paraId="35EBBB67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3. Análise com Dados Reais (Lábrea/AM)</w:t>
      </w:r>
    </w:p>
    <w:p w14:paraId="2F8133B0" w14:textId="77777777" w:rsidR="00BB46A0" w:rsidRPr="00BB46A0" w:rsidRDefault="00BB46A0" w:rsidP="00BB46A0">
      <w:r w:rsidRPr="00BB46A0">
        <w:t>Entre 2015 e 2024, o município manteve um gasto real crescente na Função 10, saindo de R$ 22,4 milhões em 2015 para R$ 29,1 milhões em 2024 (valores deflacionados — base dez/2024). No mesmo período, a mortalidade infantil recuou de 19 para 12 óbitos por ano (SINASC/DATASUS).</w:t>
      </w:r>
    </w:p>
    <w:p w14:paraId="0AA8B58A" w14:textId="77777777" w:rsidR="00BB46A0" w:rsidRPr="00BB46A0" w:rsidRDefault="00BB46A0" w:rsidP="00BB46A0">
      <w:r w:rsidRPr="00BB46A0">
        <w:t xml:space="preserve">A correlação de Pearson calculada entre as duas variáveis resultou em </w:t>
      </w:r>
      <w:r w:rsidRPr="00BB46A0">
        <w:rPr>
          <w:b/>
          <w:bCs/>
        </w:rPr>
        <w:t>r = −0,71</w:t>
      </w:r>
      <w:r w:rsidRPr="00BB46A0">
        <w:t xml:space="preserve"> (conforme detalhado na Questão 5), valor estatisticamente significativo ao nível de 5%, comprovando que o gasto público não foi apenas um custo, mas um investimento com retorno social mensurável.</w:t>
      </w:r>
    </w:p>
    <w:p w14:paraId="0549375E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4. Análise Crítica e Conclusão</w:t>
      </w:r>
    </w:p>
    <w:p w14:paraId="64DDC885" w14:textId="77777777" w:rsidR="00BB46A0" w:rsidRPr="00BB46A0" w:rsidRDefault="00BB46A0" w:rsidP="00BB46A0">
      <w:r w:rsidRPr="00BB46A0">
        <w:t>Sem a intervenção do gasto público financiado pelas transferências constitucionais, a população local estaria desassistida, pois o baixo poder aquisitivo e o isolamento geográfico impedem a viabilidade de um mercado de saúde puramente privado.</w:t>
      </w:r>
    </w:p>
    <w:p w14:paraId="2B627913" w14:textId="77777777" w:rsidR="00BB46A0" w:rsidRPr="00BB46A0" w:rsidRDefault="00BB46A0" w:rsidP="00BB46A0">
      <w:r w:rsidRPr="00BB46A0">
        <w:lastRenderedPageBreak/>
        <w:t xml:space="preserve">Portanto, o gasto público em Lábrea e Eirunepé cumpre a </w:t>
      </w:r>
      <w:r w:rsidRPr="00BB46A0">
        <w:rPr>
          <w:b/>
          <w:bCs/>
        </w:rPr>
        <w:t>função alocativa do Estado</w:t>
      </w:r>
      <w:r w:rsidRPr="00BB46A0">
        <w:t>, corrigindo a falha de mercado e garantindo que o retorno social — uma população mais saudável e com maior expectativa de vida — seja alcançado. Isso demonstra a importância vital da gestão administrativa e da contabilidade pública na manutenção do bem-estar social em regiões de alta vulnerabilidade.</w:t>
      </w:r>
    </w:p>
    <w:p w14:paraId="7BCB90CF" w14:textId="77777777" w:rsidR="00BB46A0" w:rsidRPr="00BB46A0" w:rsidRDefault="00000000" w:rsidP="00BB46A0">
      <w:r>
        <w:pict w14:anchorId="6D11C0ED">
          <v:rect id="_x0000_i1037" style="width:0;height:1.5pt" o:hralign="center" o:hrstd="t" o:hr="t" fillcolor="#a0a0a0" stroked="f"/>
        </w:pict>
      </w:r>
    </w:p>
    <w:p w14:paraId="58D86473" w14:textId="3FC7237B" w:rsidR="00BD4068" w:rsidRDefault="00BD4068" w:rsidP="00BB46A0">
      <w:pPr>
        <w:rPr>
          <w:b/>
          <w:bCs/>
        </w:rPr>
      </w:pPr>
      <w:r w:rsidRPr="00BD4068">
        <w:rPr>
          <w:b/>
          <w:bCs/>
        </w:rPr>
        <w:t>10) Elabore diagnóstico fiscal integrado com base em todos os dados analisados, por meio de um painel disponibilizado no Power BI ou ferramentas similares.</w:t>
      </w:r>
    </w:p>
    <w:p w14:paraId="4B7F5D45" w14:textId="1E20513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Questão 10 — Diagnóstico Fiscal Integrado</w:t>
      </w:r>
    </w:p>
    <w:p w14:paraId="7029F482" w14:textId="5E402AD9" w:rsidR="00BB46A0" w:rsidRDefault="00BB46A0" w:rsidP="00BB46A0">
      <w:pPr>
        <w:rPr>
          <w:b/>
          <w:bCs/>
        </w:rPr>
      </w:pPr>
      <w:r w:rsidRPr="00BB46A0">
        <w:rPr>
          <w:b/>
          <w:bCs/>
        </w:rPr>
        <w:t>Painel — Dashboard Fiscal (</w:t>
      </w:r>
      <w:r w:rsidR="007C5A69">
        <w:rPr>
          <w:b/>
          <w:bCs/>
        </w:rPr>
        <w:t>Excel)</w:t>
      </w:r>
    </w:p>
    <w:p w14:paraId="6C9F70A7" w14:textId="3BB1AD94" w:rsidR="007C5A69" w:rsidRPr="00BB46A0" w:rsidRDefault="007C5A69" w:rsidP="00BB46A0">
      <w:pPr>
        <w:rPr>
          <w:b/>
          <w:bCs/>
        </w:rPr>
      </w:pPr>
      <w:r w:rsidRPr="00A63F08">
        <w:rPr>
          <w:noProof/>
        </w:rPr>
        <w:drawing>
          <wp:inline distT="0" distB="0" distL="0" distR="0" wp14:anchorId="2A5CEACC" wp14:editId="44F743C7">
            <wp:extent cx="5400040" cy="3574057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1444" w14:textId="77777777" w:rsidR="00BB46A0" w:rsidRPr="00BB46A0" w:rsidRDefault="00BB46A0" w:rsidP="00BB46A0">
      <w:r w:rsidRPr="00BB46A0">
        <w:rPr>
          <w:i/>
          <w:iCs/>
        </w:rPr>
        <w:t>(Dashboard interativo disponível na pasta anexa do projeto)</w:t>
      </w:r>
    </w:p>
    <w:p w14:paraId="5C94440D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Síntese do Diagnóstico</w:t>
      </w:r>
    </w:p>
    <w:p w14:paraId="3F038E46" w14:textId="77777777" w:rsidR="00BB46A0" w:rsidRPr="00BB46A0" w:rsidRDefault="00BB46A0" w:rsidP="00BB46A0">
      <w:r w:rsidRPr="00BB46A0">
        <w:t>Com base em todas as análises realizadas, é possível construir um diagnóstico fiscal integrado para os três entes estudados.</w:t>
      </w:r>
    </w:p>
    <w:p w14:paraId="0675EE52" w14:textId="77777777" w:rsidR="00BB46A0" w:rsidRPr="00BB46A0" w:rsidRDefault="00BB46A0" w:rsidP="00BB46A0">
      <w:r w:rsidRPr="00BB46A0">
        <w:rPr>
          <w:b/>
          <w:bCs/>
        </w:rPr>
        <w:t>Lábrea/AM — Perfil Fiscal:</w:t>
      </w:r>
      <w:r w:rsidRPr="00BB46A0">
        <w:t xml:space="preserve"> Município com receita per capita relativamente alta, mas dependência quase total de transferências (&gt;93%). A Autonomia Fiscal média no período foi de 3,4%, abaixo do mínimo desejável para sustentabilidade fiscal própria. O resultado fiscal foi positivo na maioria dos anos, evidenciando equilíbrio formal, porém a margem para investimento estrutural é praticamente </w:t>
      </w:r>
      <w:r w:rsidRPr="00BB46A0">
        <w:lastRenderedPageBreak/>
        <w:t>nula. O "custo amazônico" consome parcela crescente das despesas correntes, comprimindo os gastos de capital.</w:t>
      </w:r>
    </w:p>
    <w:p w14:paraId="75447FED" w14:textId="77777777" w:rsidR="00BB46A0" w:rsidRPr="00BB46A0" w:rsidRDefault="00BB46A0" w:rsidP="00BB46A0">
      <w:r w:rsidRPr="00BB46A0">
        <w:rPr>
          <w:b/>
          <w:bCs/>
        </w:rPr>
        <w:t>Eirunepé/AM — Perfil Fiscal:</w:t>
      </w:r>
      <w:r w:rsidRPr="00BB46A0">
        <w:t xml:space="preserve"> Perfil similar ao de Lábrea, com autonomia fiscal ainda menor (média de 1,8% no período). O crescimento real das despesas acompanhou de perto as receitas, sem geração de poupança pública. A dependência do FPM expõe o município a ciclos externos de transferências que fogem completamente ao controle local.</w:t>
      </w:r>
    </w:p>
    <w:p w14:paraId="5FEC9384" w14:textId="77777777" w:rsidR="00BB46A0" w:rsidRPr="00BB46A0" w:rsidRDefault="00BB46A0" w:rsidP="00BB46A0">
      <w:r w:rsidRPr="00BB46A0">
        <w:rPr>
          <w:b/>
          <w:bCs/>
        </w:rPr>
        <w:t>Irlanda — Perfil Fiscal:</w:t>
      </w:r>
      <w:r w:rsidRPr="00BB46A0">
        <w:t xml:space="preserve"> Caso paradigmático de como o desenho institucional (Estado Unitário + Parlamentarismo) pode amplificar a eficiência fiscal. A centralização permitiu absorver o choque pandêmico de 2020 (déficit de 4,9% do PIB) e retornar rapidamente ao superávit (4,3% em 2024). O risco estrutural é a concentração da base tributária em multinacionais: uma eventual migração dessas empresas — impulsionada pelo imposto mínimo global da OCDE — poderia reduzir a receita em até 20–25%, exigindo ajuste fiscal significativo.</w:t>
      </w:r>
    </w:p>
    <w:p w14:paraId="11E428DD" w14:textId="77777777" w:rsidR="00BB46A0" w:rsidRPr="00BB46A0" w:rsidRDefault="00BB46A0" w:rsidP="00BB46A0">
      <w:r w:rsidRPr="00BB46A0">
        <w:rPr>
          <w:b/>
          <w:bCs/>
        </w:rPr>
        <w:t>Conclusão Geral — A Integração das Quatro Áreas:</w:t>
      </w:r>
      <w:r w:rsidRPr="00BB46A0">
        <w:t xml:space="preserve"> Os dados analisados confirmam a tese central apresentada na Questão 1: as finanças públicas são indivisíveis. A Contabilidade registra; a Auditoria controla; a Administração decide; e a Economia avalia o impacto. Quando essas quatro engrenagens operam de forma coordenada — como no caso irlandês —, o resultado é um sistema fiscal resiliente e com capacidade de reação. Quando há hiatos nessa cadeia — como nos municípios amazônicos, onde a autonomia administrativa é cerceada pela dependência estrutural de transferências —, o resultado é a perpetuação de uma gestão reativa, incapaz de planejar o longo prazo.</w:t>
      </w:r>
    </w:p>
    <w:p w14:paraId="79006E10" w14:textId="77777777" w:rsidR="00BB46A0" w:rsidRPr="00BB46A0" w:rsidRDefault="00000000" w:rsidP="00BB46A0">
      <w:r>
        <w:pict w14:anchorId="5D232BB9">
          <v:rect id="_x0000_i1038" style="width:0;height:1.5pt" o:hralign="center" o:hrstd="t" o:hr="t" fillcolor="#a0a0a0" stroked="f"/>
        </w:pict>
      </w:r>
    </w:p>
    <w:p w14:paraId="208B5C77" w14:textId="77777777" w:rsidR="00BB46A0" w:rsidRPr="00BB46A0" w:rsidRDefault="00BB46A0" w:rsidP="00BB46A0">
      <w:pPr>
        <w:rPr>
          <w:b/>
          <w:bCs/>
        </w:rPr>
      </w:pPr>
      <w:r w:rsidRPr="00BB46A0">
        <w:rPr>
          <w:b/>
          <w:bCs/>
        </w:rPr>
        <w:t>Referências Bibliográficas</w:t>
      </w:r>
    </w:p>
    <w:p w14:paraId="1D67166D" w14:textId="77777777" w:rsidR="00BB46A0" w:rsidRPr="00BB46A0" w:rsidRDefault="00BB46A0" w:rsidP="00BB46A0">
      <w:r w:rsidRPr="00BB46A0">
        <w:t xml:space="preserve">BIDERMAN, C.; ARVATE, P. (Org.). </w:t>
      </w:r>
      <w:r w:rsidRPr="00BB46A0">
        <w:rPr>
          <w:b/>
          <w:bCs/>
        </w:rPr>
        <w:t>Economia do setor público no Brasil</w:t>
      </w:r>
      <w:r w:rsidRPr="00BB46A0">
        <w:t>. Rio de Janeiro: Elsevier, 2004.</w:t>
      </w:r>
    </w:p>
    <w:p w14:paraId="16D41B3B" w14:textId="77777777" w:rsidR="00BB46A0" w:rsidRPr="00BB46A0" w:rsidRDefault="00BB46A0" w:rsidP="00BB46A0">
      <w:r w:rsidRPr="00BB46A0">
        <w:t xml:space="preserve">BRESSER-PEREIRA, L. C. </w:t>
      </w:r>
      <w:r w:rsidRPr="00BB46A0">
        <w:rPr>
          <w:b/>
          <w:bCs/>
        </w:rPr>
        <w:t>Reforma do Estado para a cidadania</w:t>
      </w:r>
      <w:r w:rsidRPr="00BB46A0">
        <w:t>. São Paulo: Editora 34, 2017.</w:t>
      </w:r>
    </w:p>
    <w:p w14:paraId="622572C9" w14:textId="77777777" w:rsidR="00BB46A0" w:rsidRPr="00BB46A0" w:rsidRDefault="00BB46A0" w:rsidP="00BB46A0">
      <w:r w:rsidRPr="00BB46A0">
        <w:t xml:space="preserve">CENTRAL STATISTICS OFFICE (CSO). </w:t>
      </w:r>
      <w:proofErr w:type="spellStart"/>
      <w:r w:rsidRPr="00BB46A0">
        <w:rPr>
          <w:b/>
          <w:bCs/>
        </w:rPr>
        <w:t>Government</w:t>
      </w:r>
      <w:proofErr w:type="spellEnd"/>
      <w:r w:rsidRPr="00BB46A0">
        <w:rPr>
          <w:b/>
          <w:bCs/>
        </w:rPr>
        <w:t xml:space="preserve"> </w:t>
      </w:r>
      <w:proofErr w:type="spellStart"/>
      <w:r w:rsidRPr="00BB46A0">
        <w:rPr>
          <w:b/>
          <w:bCs/>
        </w:rPr>
        <w:t>Finance</w:t>
      </w:r>
      <w:proofErr w:type="spellEnd"/>
      <w:r w:rsidRPr="00BB46A0">
        <w:rPr>
          <w:b/>
          <w:bCs/>
        </w:rPr>
        <w:t xml:space="preserve"> </w:t>
      </w:r>
      <w:proofErr w:type="spellStart"/>
      <w:r w:rsidRPr="00BB46A0">
        <w:rPr>
          <w:b/>
          <w:bCs/>
        </w:rPr>
        <w:t>Statistics</w:t>
      </w:r>
      <w:proofErr w:type="spellEnd"/>
      <w:r w:rsidRPr="00BB46A0">
        <w:rPr>
          <w:b/>
          <w:bCs/>
        </w:rPr>
        <w:t xml:space="preserve"> 2024</w:t>
      </w:r>
      <w:r w:rsidRPr="00BB46A0">
        <w:t xml:space="preserve">. Dublin: CSO, abril 2025. Disponível em: </w:t>
      </w:r>
      <w:hyperlink r:id="rId13" w:history="1">
        <w:r w:rsidRPr="00BB46A0">
          <w:rPr>
            <w:rStyle w:val="Hyperlink"/>
          </w:rPr>
          <w:t>https://www.cso.ie</w:t>
        </w:r>
      </w:hyperlink>
      <w:r w:rsidRPr="00BB46A0">
        <w:t>. Acesso em: maio 2025.</w:t>
      </w:r>
    </w:p>
    <w:p w14:paraId="51B16661" w14:textId="77777777" w:rsidR="00BB46A0" w:rsidRPr="00BB46A0" w:rsidRDefault="00BB46A0" w:rsidP="00BB46A0">
      <w:r w:rsidRPr="00BB46A0">
        <w:t xml:space="preserve">EUROSTAT. </w:t>
      </w:r>
      <w:proofErr w:type="spellStart"/>
      <w:r w:rsidRPr="00BB46A0">
        <w:rPr>
          <w:b/>
          <w:bCs/>
        </w:rPr>
        <w:t>Government</w:t>
      </w:r>
      <w:proofErr w:type="spellEnd"/>
      <w:r w:rsidRPr="00BB46A0">
        <w:rPr>
          <w:b/>
          <w:bCs/>
        </w:rPr>
        <w:t xml:space="preserve"> </w:t>
      </w:r>
      <w:proofErr w:type="spellStart"/>
      <w:r w:rsidRPr="00BB46A0">
        <w:rPr>
          <w:b/>
          <w:bCs/>
        </w:rPr>
        <w:t>finance</w:t>
      </w:r>
      <w:proofErr w:type="spellEnd"/>
      <w:r w:rsidRPr="00BB46A0">
        <w:rPr>
          <w:b/>
          <w:bCs/>
        </w:rPr>
        <w:t xml:space="preserve"> </w:t>
      </w:r>
      <w:proofErr w:type="spellStart"/>
      <w:r w:rsidRPr="00BB46A0">
        <w:rPr>
          <w:b/>
          <w:bCs/>
        </w:rPr>
        <w:t>statistics</w:t>
      </w:r>
      <w:proofErr w:type="spellEnd"/>
      <w:r w:rsidRPr="00BB46A0">
        <w:rPr>
          <w:b/>
          <w:bCs/>
        </w:rPr>
        <w:t xml:space="preserve"> — Annual data</w:t>
      </w:r>
      <w:r w:rsidRPr="00BB46A0">
        <w:t xml:space="preserve"> (gov_10a_main). Luxemburgo: Comissão Europeia, 2025. Disponível em: </w:t>
      </w:r>
      <w:hyperlink r:id="rId14" w:history="1">
        <w:r w:rsidRPr="00BB46A0">
          <w:rPr>
            <w:rStyle w:val="Hyperlink"/>
          </w:rPr>
          <w:t>https://ec.europa.eu/eurostat</w:t>
        </w:r>
      </w:hyperlink>
      <w:r w:rsidRPr="00BB46A0">
        <w:t>. Acesso em: maio 2025.</w:t>
      </w:r>
    </w:p>
    <w:p w14:paraId="1DB17D85" w14:textId="77777777" w:rsidR="00BB46A0" w:rsidRPr="00BB46A0" w:rsidRDefault="00BB46A0" w:rsidP="00BB46A0">
      <w:r w:rsidRPr="00BB46A0">
        <w:t xml:space="preserve">GIACOMONI, J. </w:t>
      </w:r>
      <w:r w:rsidRPr="00BB46A0">
        <w:rPr>
          <w:b/>
          <w:bCs/>
        </w:rPr>
        <w:t>Orçamento público</w:t>
      </w:r>
      <w:r w:rsidRPr="00BB46A0">
        <w:t>. 17. ed. São Paulo: Atlas, 2019.</w:t>
      </w:r>
    </w:p>
    <w:p w14:paraId="3D290878" w14:textId="77777777" w:rsidR="00BB46A0" w:rsidRPr="00BB46A0" w:rsidRDefault="00BB46A0" w:rsidP="00BB46A0">
      <w:r w:rsidRPr="00BB46A0">
        <w:lastRenderedPageBreak/>
        <w:t xml:space="preserve">GIAMBIAGI, F.; ALÉM, A. C. </w:t>
      </w:r>
      <w:r w:rsidRPr="00BB46A0">
        <w:rPr>
          <w:b/>
          <w:bCs/>
        </w:rPr>
        <w:t>Finanças públicas: teoria e prática no Brasil</w:t>
      </w:r>
      <w:r w:rsidRPr="00BB46A0">
        <w:t>. 4. ed. Rio de Janeiro: Elsevier, 2011.</w:t>
      </w:r>
    </w:p>
    <w:p w14:paraId="6A36C36D" w14:textId="77777777" w:rsidR="00BB46A0" w:rsidRPr="00BB46A0" w:rsidRDefault="00BB46A0" w:rsidP="00BB46A0">
      <w:r w:rsidRPr="00BB46A0">
        <w:t xml:space="preserve">IBGE. </w:t>
      </w:r>
      <w:r w:rsidRPr="00BB46A0">
        <w:rPr>
          <w:b/>
          <w:bCs/>
        </w:rPr>
        <w:t>Tabela 1737 — IPCA: Número-índice (base: dezembro 1993 = 100)</w:t>
      </w:r>
      <w:r w:rsidRPr="00BB46A0">
        <w:t xml:space="preserve">. Sistema SIDRA. Rio de Janeiro: IBGE, 2025. Disponível em: </w:t>
      </w:r>
      <w:hyperlink r:id="rId15" w:history="1">
        <w:r w:rsidRPr="00BB46A0">
          <w:rPr>
            <w:rStyle w:val="Hyperlink"/>
          </w:rPr>
          <w:t>https://sidra.ibge.gov.br</w:t>
        </w:r>
      </w:hyperlink>
      <w:r w:rsidRPr="00BB46A0">
        <w:t>. Acesso em: maio 2025.</w:t>
      </w:r>
    </w:p>
    <w:p w14:paraId="51F412A6" w14:textId="77777777" w:rsidR="00BB46A0" w:rsidRPr="00BB46A0" w:rsidRDefault="00BB46A0" w:rsidP="00BB46A0">
      <w:r w:rsidRPr="00BB46A0">
        <w:t xml:space="preserve">SICONFI/STN. </w:t>
      </w:r>
      <w:r w:rsidRPr="00BB46A0">
        <w:rPr>
          <w:b/>
          <w:bCs/>
        </w:rPr>
        <w:t>Sistema de Informações Contábeis e Fiscais do Setor Público Brasileiro</w:t>
      </w:r>
      <w:r w:rsidRPr="00BB46A0">
        <w:t xml:space="preserve">. Brasília: Secretaria do Tesouro Nacional, 2025. Disponível em: </w:t>
      </w:r>
      <w:hyperlink r:id="rId16" w:history="1">
        <w:r w:rsidRPr="00BB46A0">
          <w:rPr>
            <w:rStyle w:val="Hyperlink"/>
          </w:rPr>
          <w:t>https://siconfi.tesouro.gov.br</w:t>
        </w:r>
      </w:hyperlink>
      <w:r w:rsidRPr="00BB46A0">
        <w:t>. Acesso em: maio 2025.</w:t>
      </w:r>
    </w:p>
    <w:p w14:paraId="1B7C5348" w14:textId="77777777" w:rsidR="00BB46A0" w:rsidRPr="00BB46A0" w:rsidRDefault="00BB46A0" w:rsidP="00BB46A0">
      <w:r w:rsidRPr="00BB46A0">
        <w:t xml:space="preserve">SINASC/DATASUS. </w:t>
      </w:r>
      <w:r w:rsidRPr="00BB46A0">
        <w:rPr>
          <w:b/>
          <w:bCs/>
        </w:rPr>
        <w:t>Sistema de Informações sobre Nascidos Vivos</w:t>
      </w:r>
      <w:r w:rsidRPr="00BB46A0">
        <w:t xml:space="preserve">. Brasília: Ministério da Saúde, 2025. Disponível em: </w:t>
      </w:r>
      <w:hyperlink r:id="rId17" w:history="1">
        <w:r w:rsidRPr="00BB46A0">
          <w:rPr>
            <w:rStyle w:val="Hyperlink"/>
          </w:rPr>
          <w:t>https://datasus.saude.gov.br</w:t>
        </w:r>
      </w:hyperlink>
      <w:r w:rsidRPr="00BB46A0">
        <w:t>. Acesso em: maio 2025.</w:t>
      </w:r>
    </w:p>
    <w:p w14:paraId="0B93B6FE" w14:textId="77777777" w:rsidR="00BB46A0" w:rsidRDefault="00BB46A0" w:rsidP="00BB46A0">
      <w:r w:rsidRPr="00BB46A0">
        <w:t xml:space="preserve">STIGLITZ, J. E. </w:t>
      </w:r>
      <w:proofErr w:type="spellStart"/>
      <w:r w:rsidRPr="00BB46A0">
        <w:rPr>
          <w:b/>
          <w:bCs/>
        </w:rPr>
        <w:t>Economics</w:t>
      </w:r>
      <w:proofErr w:type="spellEnd"/>
      <w:r w:rsidRPr="00BB46A0">
        <w:rPr>
          <w:b/>
          <w:bCs/>
        </w:rPr>
        <w:t xml:space="preserve"> </w:t>
      </w:r>
      <w:proofErr w:type="spellStart"/>
      <w:r w:rsidRPr="00BB46A0">
        <w:rPr>
          <w:b/>
          <w:bCs/>
        </w:rPr>
        <w:t>of</w:t>
      </w:r>
      <w:proofErr w:type="spellEnd"/>
      <w:r w:rsidRPr="00BB46A0">
        <w:rPr>
          <w:b/>
          <w:bCs/>
        </w:rPr>
        <w:t xml:space="preserve"> </w:t>
      </w:r>
      <w:proofErr w:type="spellStart"/>
      <w:r w:rsidRPr="00BB46A0">
        <w:rPr>
          <w:b/>
          <w:bCs/>
        </w:rPr>
        <w:t>the</w:t>
      </w:r>
      <w:proofErr w:type="spellEnd"/>
      <w:r w:rsidRPr="00BB46A0">
        <w:rPr>
          <w:b/>
          <w:bCs/>
        </w:rPr>
        <w:t xml:space="preserve"> </w:t>
      </w:r>
      <w:proofErr w:type="spellStart"/>
      <w:r w:rsidRPr="00BB46A0">
        <w:rPr>
          <w:b/>
          <w:bCs/>
        </w:rPr>
        <w:t>public</w:t>
      </w:r>
      <w:proofErr w:type="spellEnd"/>
      <w:r w:rsidRPr="00BB46A0">
        <w:rPr>
          <w:b/>
          <w:bCs/>
        </w:rPr>
        <w:t xml:space="preserve"> sector</w:t>
      </w:r>
      <w:r w:rsidRPr="00BB46A0">
        <w:t>. 3. ed. Nova York: W. W. Norton, 2000.</w:t>
      </w:r>
    </w:p>
    <w:p w14:paraId="05C28FAB" w14:textId="6A30AE5D" w:rsidR="003623B5" w:rsidRPr="00BB46A0" w:rsidRDefault="003623B5" w:rsidP="00BB46A0">
      <w:r w:rsidRPr="003623B5">
        <w:t xml:space="preserve">TRADING ECONOMICS. </w:t>
      </w:r>
      <w:r w:rsidRPr="003623B5">
        <w:rPr>
          <w:b/>
          <w:bCs/>
        </w:rPr>
        <w:t>Ireland</w:t>
      </w:r>
      <w:r w:rsidRPr="003623B5">
        <w:t xml:space="preserve">. [S. l.]: Trading </w:t>
      </w:r>
      <w:proofErr w:type="spellStart"/>
      <w:r w:rsidRPr="003623B5">
        <w:t>Economics</w:t>
      </w:r>
      <w:proofErr w:type="spellEnd"/>
      <w:r w:rsidRPr="003623B5">
        <w:t xml:space="preserve">, 2025. Disponível em: </w:t>
      </w:r>
      <w:hyperlink r:id="rId18" w:history="1">
        <w:r w:rsidRPr="003623B5">
          <w:rPr>
            <w:rStyle w:val="Hyperlink"/>
          </w:rPr>
          <w:t>https://tradingeconomics.com/ireland</w:t>
        </w:r>
      </w:hyperlink>
      <w:r w:rsidRPr="003623B5">
        <w:t>. Acesso em: maio 2025.</w:t>
      </w:r>
    </w:p>
    <w:p w14:paraId="2F4C5E65" w14:textId="77777777" w:rsidR="00CB32F6" w:rsidRDefault="00CB32F6"/>
    <w:sectPr w:rsidR="00CB3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A0"/>
    <w:rsid w:val="0005438C"/>
    <w:rsid w:val="00222600"/>
    <w:rsid w:val="003623B5"/>
    <w:rsid w:val="0041537C"/>
    <w:rsid w:val="00545DD2"/>
    <w:rsid w:val="005F6D3E"/>
    <w:rsid w:val="006B3E33"/>
    <w:rsid w:val="00762F3C"/>
    <w:rsid w:val="007C5A69"/>
    <w:rsid w:val="007D2ACE"/>
    <w:rsid w:val="00A1364A"/>
    <w:rsid w:val="00B262E6"/>
    <w:rsid w:val="00B93FE9"/>
    <w:rsid w:val="00BB46A0"/>
    <w:rsid w:val="00BD4068"/>
    <w:rsid w:val="00CA54F0"/>
    <w:rsid w:val="00CB32F6"/>
    <w:rsid w:val="00D54B6B"/>
    <w:rsid w:val="00E33C23"/>
    <w:rsid w:val="00E9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6152A"/>
  <w15:chartTrackingRefBased/>
  <w15:docId w15:val="{EE9114EB-AB11-4D1E-8860-8EEEE731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B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B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B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B4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B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BB4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46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4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46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4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4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46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46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46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46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46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4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B46A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B4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B46A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B46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B46A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B46A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B46A0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B46A0"/>
    <w:rPr>
      <w:color w:val="80008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46A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623B5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3623B5"/>
    <w:rPr>
      <w:kern w:val="0"/>
      <w14:ligatures w14:val="none"/>
    </w:rPr>
  </w:style>
  <w:style w:type="table" w:styleId="Tabelacomgrade">
    <w:name w:val="Table Grid"/>
    <w:basedOn w:val="Tabelanormal"/>
    <w:uiPriority w:val="59"/>
    <w:rsid w:val="003623B5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7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9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2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5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1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0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hyperlink" Target="https://www.cso.ie/" TargetMode="External"/><Relationship Id="rId18" Type="http://schemas.openxmlformats.org/officeDocument/2006/relationships/hyperlink" Target="https://tradingeconomics.com/ireland" TargetMode="External"/><Relationship Id="rId3" Type="http://schemas.openxmlformats.org/officeDocument/2006/relationships/webSettings" Target="webSettings.xml"/><Relationship Id="rId7" Type="http://schemas.openxmlformats.org/officeDocument/2006/relationships/chart" Target="charts/chart3.xml"/><Relationship Id="rId12" Type="http://schemas.openxmlformats.org/officeDocument/2006/relationships/image" Target="media/image4.png"/><Relationship Id="rId17" Type="http://schemas.openxmlformats.org/officeDocument/2006/relationships/hyperlink" Target="https://datasus.saude.gov.br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iconfi.tesouro.gov.br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11" Type="http://schemas.openxmlformats.org/officeDocument/2006/relationships/image" Target="media/image3.png"/><Relationship Id="rId5" Type="http://schemas.openxmlformats.org/officeDocument/2006/relationships/chart" Target="charts/chart1.xml"/><Relationship Id="rId15" Type="http://schemas.openxmlformats.org/officeDocument/2006/relationships/hyperlink" Target="https://sidra.ibge.gov.br/" TargetMode="External"/><Relationship Id="rId10" Type="http://schemas.openxmlformats.org/officeDocument/2006/relationships/chart" Target="charts/chart5.xm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hyperlink" Target="https://ec.europa.eu/eurosta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100" b="1">
                <a:effectLst/>
              </a:rPr>
              <a:t>Eirunepé/AM — Composição da Receita (R$)</a:t>
            </a:r>
            <a:endParaRPr lang="pt-BR" sz="11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Planilha2!$E$3</c:f>
              <c:strCache>
                <c:ptCount val="1"/>
                <c:pt idx="0">
                  <c:v>Receita Tributária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Planilha2!$D$4:$D$13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Planilha2!$E$4:$E$13</c:f>
              <c:numCache>
                <c:formatCode>#,##0.00</c:formatCode>
                <c:ptCount val="10"/>
                <c:pt idx="0">
                  <c:v>997823.52</c:v>
                </c:pt>
                <c:pt idx="1">
                  <c:v>785170.38</c:v>
                </c:pt>
                <c:pt idx="2">
                  <c:v>1154661.6299999999</c:v>
                </c:pt>
                <c:pt idx="3">
                  <c:v>2381736.2400000002</c:v>
                </c:pt>
                <c:pt idx="4">
                  <c:v>1917798.84</c:v>
                </c:pt>
                <c:pt idx="5">
                  <c:v>2321119.2999999998</c:v>
                </c:pt>
                <c:pt idx="6">
                  <c:v>3069955.26</c:v>
                </c:pt>
                <c:pt idx="7">
                  <c:v>5344479.6900000004</c:v>
                </c:pt>
                <c:pt idx="8">
                  <c:v>5888775.5599999996</c:v>
                </c:pt>
                <c:pt idx="9">
                  <c:v>5961105.3899999997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AB-4FA6-B3C1-87FF4C8793C4}"/>
            </c:ext>
          </c:extLst>
        </c:ser>
        <c:ser>
          <c:idx val="1"/>
          <c:order val="1"/>
          <c:tx>
            <c:strRef>
              <c:f>Planilha2!$F$3</c:f>
              <c:strCache>
                <c:ptCount val="1"/>
                <c:pt idx="0">
                  <c:v>Transferências Correntes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Planilha2!$D$4:$D$13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Planilha2!$F$4:$F$13</c:f>
              <c:numCache>
                <c:formatCode>#,##0.00</c:formatCode>
                <c:ptCount val="10"/>
                <c:pt idx="0">
                  <c:v>56327104.850000001</c:v>
                </c:pt>
                <c:pt idx="1">
                  <c:v>58313890.829999998</c:v>
                </c:pt>
                <c:pt idx="2">
                  <c:v>65294346.200000003</c:v>
                </c:pt>
                <c:pt idx="3">
                  <c:v>72297345.950000003</c:v>
                </c:pt>
                <c:pt idx="4">
                  <c:v>82581929.109999999</c:v>
                </c:pt>
                <c:pt idx="5">
                  <c:v>94707390.359999999</c:v>
                </c:pt>
                <c:pt idx="6">
                  <c:v>116981757.36</c:v>
                </c:pt>
                <c:pt idx="7">
                  <c:v>141369363.22999999</c:v>
                </c:pt>
                <c:pt idx="8">
                  <c:v>152497226.06999999</c:v>
                </c:pt>
                <c:pt idx="9">
                  <c:v>176259402.93000001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2AB-4FA6-B3C1-87FF4C8793C4}"/>
            </c:ext>
          </c:extLst>
        </c:ser>
        <c:ser>
          <c:idx val="2"/>
          <c:order val="2"/>
          <c:tx>
            <c:strRef>
              <c:f>Planilha2!$G$3</c:f>
              <c:strCache>
                <c:ptCount val="1"/>
                <c:pt idx="0">
                  <c:v>Outras Receitas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Planilha2!$D$4:$D$13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Planilha2!$G$4:$G$13</c:f>
              <c:numCache>
                <c:formatCode>#,##0.00</c:formatCode>
                <c:ptCount val="10"/>
                <c:pt idx="0">
                  <c:v>115187.83</c:v>
                </c:pt>
                <c:pt idx="1">
                  <c:v>239525.16</c:v>
                </c:pt>
                <c:pt idx="2">
                  <c:v>455928.87</c:v>
                </c:pt>
                <c:pt idx="3">
                  <c:v>194455.09</c:v>
                </c:pt>
                <c:pt idx="4">
                  <c:v>210941.4</c:v>
                </c:pt>
                <c:pt idx="5">
                  <c:v>1042187.73</c:v>
                </c:pt>
                <c:pt idx="6">
                  <c:v>1259942.1000000001</c:v>
                </c:pt>
                <c:pt idx="7">
                  <c:v>1363830.78</c:v>
                </c:pt>
                <c:pt idx="8">
                  <c:v>1410838.29</c:v>
                </c:pt>
                <c:pt idx="9">
                  <c:v>2660954.58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2AB-4FA6-B3C1-87FF4C8793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95283391"/>
        <c:axId val="1495295391"/>
      </c:barChart>
      <c:catAx>
        <c:axId val="14952833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95295391"/>
        <c:crosses val="autoZero"/>
        <c:auto val="1"/>
        <c:lblAlgn val="ctr"/>
        <c:lblOffset val="100"/>
        <c:noMultiLvlLbl val="0"/>
      </c:catAx>
      <c:valAx>
        <c:axId val="1495295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95283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pt-BR" sz="1200" b="1">
                <a:effectLst/>
              </a:rPr>
              <a:t>Lábrea/AM — Composição da Receita (R$)</a:t>
            </a:r>
            <a:endParaRPr lang="pt-BR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Planilha2!$E$19</c:f>
              <c:strCache>
                <c:ptCount val="1"/>
                <c:pt idx="0">
                  <c:v>Receita Tributária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Planilha2!$D$20:$D$29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Planilha2!$E$20:$E$29</c:f>
              <c:numCache>
                <c:formatCode>#,##0.00</c:formatCode>
                <c:ptCount val="10"/>
                <c:pt idx="0">
                  <c:v>2096392.69</c:v>
                </c:pt>
                <c:pt idx="1">
                  <c:v>2433001.8199999998</c:v>
                </c:pt>
                <c:pt idx="2">
                  <c:v>2991083.68</c:v>
                </c:pt>
                <c:pt idx="3">
                  <c:v>10633700</c:v>
                </c:pt>
                <c:pt idx="4" formatCode="General">
                  <c:v>0</c:v>
                </c:pt>
                <c:pt idx="5">
                  <c:v>4875899.6399999997</c:v>
                </c:pt>
                <c:pt idx="6">
                  <c:v>5958282</c:v>
                </c:pt>
                <c:pt idx="7">
                  <c:v>8002837.5800000001</c:v>
                </c:pt>
                <c:pt idx="8">
                  <c:v>7084850.0800000001</c:v>
                </c:pt>
                <c:pt idx="9">
                  <c:v>2739574.98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2F-4F34-B0B0-583C4EEDF3B3}"/>
            </c:ext>
          </c:extLst>
        </c:ser>
        <c:ser>
          <c:idx val="1"/>
          <c:order val="1"/>
          <c:tx>
            <c:strRef>
              <c:f>Planilha2!$F$19</c:f>
              <c:strCache>
                <c:ptCount val="1"/>
                <c:pt idx="0">
                  <c:v>Transferências Correntes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Planilha2!$D$20:$D$29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Planilha2!$F$20:$F$29</c:f>
              <c:numCache>
                <c:formatCode>#,##0.00</c:formatCode>
                <c:ptCount val="10"/>
                <c:pt idx="0">
                  <c:v>64301659.420000002</c:v>
                </c:pt>
                <c:pt idx="1">
                  <c:v>68862939.140000001</c:v>
                </c:pt>
                <c:pt idx="2">
                  <c:v>80190125.480000004</c:v>
                </c:pt>
                <c:pt idx="3">
                  <c:v>90573539.689999998</c:v>
                </c:pt>
                <c:pt idx="4" formatCode="General">
                  <c:v>0</c:v>
                </c:pt>
                <c:pt idx="5">
                  <c:v>115732996.33</c:v>
                </c:pt>
                <c:pt idx="6">
                  <c:v>132824845.79000001</c:v>
                </c:pt>
                <c:pt idx="7">
                  <c:v>162612854.47999999</c:v>
                </c:pt>
                <c:pt idx="8">
                  <c:v>184409967.03999999</c:v>
                </c:pt>
                <c:pt idx="9">
                  <c:v>91358764.569999993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02F-4F34-B0B0-583C4EEDF3B3}"/>
            </c:ext>
          </c:extLst>
        </c:ser>
        <c:ser>
          <c:idx val="2"/>
          <c:order val="2"/>
          <c:tx>
            <c:strRef>
              <c:f>Planilha2!$G$19</c:f>
              <c:strCache>
                <c:ptCount val="1"/>
                <c:pt idx="0">
                  <c:v>Outras Receitas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Planilha2!$D$20:$D$29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Planilha2!$G$20:$G$29</c:f>
              <c:numCache>
                <c:formatCode>#,##0.00</c:formatCode>
                <c:ptCount val="10"/>
                <c:pt idx="0">
                  <c:v>539834.29</c:v>
                </c:pt>
                <c:pt idx="1">
                  <c:v>409105.57</c:v>
                </c:pt>
                <c:pt idx="2">
                  <c:v>993563.02</c:v>
                </c:pt>
                <c:pt idx="3" formatCode="General">
                  <c:v>0</c:v>
                </c:pt>
                <c:pt idx="4" formatCode="General">
                  <c:v>0</c:v>
                </c:pt>
                <c:pt idx="5">
                  <c:v>15309.87</c:v>
                </c:pt>
                <c:pt idx="6">
                  <c:v>2133117.5</c:v>
                </c:pt>
                <c:pt idx="7">
                  <c:v>2672919.29</c:v>
                </c:pt>
                <c:pt idx="8">
                  <c:v>4368920.5</c:v>
                </c:pt>
                <c:pt idx="9">
                  <c:v>4914168.79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02F-4F34-B0B0-583C4EEDF3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93313695"/>
        <c:axId val="1493307935"/>
      </c:barChart>
      <c:catAx>
        <c:axId val="14933136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93307935"/>
        <c:crosses val="autoZero"/>
        <c:auto val="1"/>
        <c:lblAlgn val="ctr"/>
        <c:lblOffset val="100"/>
        <c:noMultiLvlLbl val="0"/>
      </c:catAx>
      <c:valAx>
        <c:axId val="1493307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933136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Receitas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Planilha3!$J$15</c:f>
              <c:strCache>
                <c:ptCount val="1"/>
                <c:pt idx="0">
                  <c:v>Despesa Real (Lábrea)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Planilha3!$I$16:$I$25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Planilha3!$J$16:$J$25</c:f>
              <c:numCache>
                <c:formatCode>#,##0</c:formatCode>
                <c:ptCount val="10"/>
                <c:pt idx="0">
                  <c:v>206769007</c:v>
                </c:pt>
                <c:pt idx="1">
                  <c:v>193924178</c:v>
                </c:pt>
                <c:pt idx="2">
                  <c:v>209686800</c:v>
                </c:pt>
                <c:pt idx="3">
                  <c:v>209008804</c:v>
                </c:pt>
                <c:pt idx="4" formatCode="General">
                  <c:v>0</c:v>
                </c:pt>
                <c:pt idx="5">
                  <c:v>254176741</c:v>
                </c:pt>
                <c:pt idx="6">
                  <c:v>260621348</c:v>
                </c:pt>
                <c:pt idx="7">
                  <c:v>265803327</c:v>
                </c:pt>
                <c:pt idx="8">
                  <c:v>273095817</c:v>
                </c:pt>
                <c:pt idx="9">
                  <c:v>103540289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3E0-4A51-BEFA-F8A0EDF1478C}"/>
            </c:ext>
          </c:extLst>
        </c:ser>
        <c:ser>
          <c:idx val="1"/>
          <c:order val="1"/>
          <c:tx>
            <c:strRef>
              <c:f>Planilha3!$K$15</c:f>
              <c:strCache>
                <c:ptCount val="1"/>
                <c:pt idx="0">
                  <c:v>Despesa Real (Eirunepé)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Planilha3!$I$16:$I$25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Planilha3!$K$16:$K$25</c:f>
              <c:numCache>
                <c:formatCode>#,##0</c:formatCode>
                <c:ptCount val="10"/>
                <c:pt idx="0">
                  <c:v>170944699</c:v>
                </c:pt>
                <c:pt idx="1">
                  <c:v>156989764</c:v>
                </c:pt>
                <c:pt idx="2">
                  <c:v>166199020</c:v>
                </c:pt>
                <c:pt idx="3">
                  <c:v>193476263</c:v>
                </c:pt>
                <c:pt idx="4">
                  <c:v>193347289</c:v>
                </c:pt>
                <c:pt idx="5">
                  <c:v>210483576</c:v>
                </c:pt>
                <c:pt idx="6">
                  <c:v>212338397</c:v>
                </c:pt>
                <c:pt idx="7">
                  <c:v>233558680</c:v>
                </c:pt>
                <c:pt idx="8">
                  <c:v>250653888</c:v>
                </c:pt>
                <c:pt idx="9">
                  <c:v>196960632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3E0-4A51-BEFA-F8A0EDF147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93310815"/>
        <c:axId val="1493309375"/>
      </c:lineChart>
      <c:catAx>
        <c:axId val="14933108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93309375"/>
        <c:crosses val="autoZero"/>
        <c:auto val="1"/>
        <c:lblAlgn val="ctr"/>
        <c:lblOffset val="100"/>
        <c:noMultiLvlLbl val="0"/>
      </c:catAx>
      <c:valAx>
        <c:axId val="1493309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933108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Despesas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Planilha3!$J$1</c:f>
              <c:strCache>
                <c:ptCount val="1"/>
                <c:pt idx="0">
                  <c:v>Despesa Real (Lábrea)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Planilha3!$I$2:$I$11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Planilha3!$J$2:$J$11</c:f>
              <c:numCache>
                <c:formatCode>#,##0</c:formatCode>
                <c:ptCount val="10"/>
                <c:pt idx="0">
                  <c:v>176071046</c:v>
                </c:pt>
                <c:pt idx="1">
                  <c:v>179286218</c:v>
                </c:pt>
                <c:pt idx="2">
                  <c:v>195825960</c:v>
                </c:pt>
                <c:pt idx="3">
                  <c:v>174028819</c:v>
                </c:pt>
                <c:pt idx="4" formatCode="General">
                  <c:v>0</c:v>
                </c:pt>
                <c:pt idx="5">
                  <c:v>231311734</c:v>
                </c:pt>
                <c:pt idx="6">
                  <c:v>232351349</c:v>
                </c:pt>
                <c:pt idx="7">
                  <c:v>254226530</c:v>
                </c:pt>
                <c:pt idx="8">
                  <c:v>248778300</c:v>
                </c:pt>
                <c:pt idx="9">
                  <c:v>98601575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B89-494E-9A87-AF8C827E552E}"/>
            </c:ext>
          </c:extLst>
        </c:ser>
        <c:ser>
          <c:idx val="1"/>
          <c:order val="1"/>
          <c:tx>
            <c:strRef>
              <c:f>Planilha3!$K$1</c:f>
              <c:strCache>
                <c:ptCount val="1"/>
                <c:pt idx="0">
                  <c:v>Despesa Real (Eirunepé)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Planilha3!$I$2:$I$11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Planilha3!$K$2:$K$11</c:f>
              <c:numCache>
                <c:formatCode>#,##0</c:formatCode>
                <c:ptCount val="10"/>
                <c:pt idx="0">
                  <c:v>128027289</c:v>
                </c:pt>
                <c:pt idx="1">
                  <c:v>92270929</c:v>
                </c:pt>
                <c:pt idx="2">
                  <c:v>151968657</c:v>
                </c:pt>
                <c:pt idx="3">
                  <c:v>197368823</c:v>
                </c:pt>
                <c:pt idx="4">
                  <c:v>178063803</c:v>
                </c:pt>
                <c:pt idx="5">
                  <c:v>203002279</c:v>
                </c:pt>
                <c:pt idx="6">
                  <c:v>201199161</c:v>
                </c:pt>
                <c:pt idx="7">
                  <c:v>229974127</c:v>
                </c:pt>
                <c:pt idx="8">
                  <c:v>238923940</c:v>
                </c:pt>
                <c:pt idx="9">
                  <c:v>192107577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B89-494E-9A87-AF8C827E55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95282431"/>
        <c:axId val="1495286271"/>
      </c:lineChart>
      <c:catAx>
        <c:axId val="1495282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95286271"/>
        <c:crosses val="autoZero"/>
        <c:auto val="1"/>
        <c:lblAlgn val="ctr"/>
        <c:lblOffset val="100"/>
        <c:noMultiLvlLbl val="0"/>
      </c:catAx>
      <c:valAx>
        <c:axId val="14952862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95282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Receita x PIB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Planilha5!$I$10</c:f>
              <c:strCache>
                <c:ptCount val="1"/>
                <c:pt idx="0">
                  <c:v>Receita Total (€B) — 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Planilha5!$H$11:$H$20</c:f>
              <c:numCache>
                <c:formatCode>General</c:formatCode>
                <c:ptCount val="10"/>
                <c:pt idx="0">
                  <c:v>255.6</c:v>
                </c:pt>
                <c:pt idx="1">
                  <c:v>331.4</c:v>
                </c:pt>
                <c:pt idx="2">
                  <c:v>379.7</c:v>
                </c:pt>
                <c:pt idx="3">
                  <c:v>363.7</c:v>
                </c:pt>
                <c:pt idx="4">
                  <c:v>382.2</c:v>
                </c:pt>
                <c:pt idx="5">
                  <c:v>449.2</c:v>
                </c:pt>
                <c:pt idx="6">
                  <c:v>504.3</c:v>
                </c:pt>
                <c:pt idx="7">
                  <c:v>533.20000000000005</c:v>
                </c:pt>
                <c:pt idx="8">
                  <c:v>534.4</c:v>
                </c:pt>
                <c:pt idx="9">
                  <c:v>590.1</c:v>
                </c:pt>
              </c:numCache>
            </c:numRef>
          </c:xVal>
          <c:yVal>
            <c:numRef>
              <c:f>Planilha5!$I$11:$I$20</c:f>
              <c:numCache>
                <c:formatCode>General</c:formatCode>
                <c:ptCount val="10"/>
                <c:pt idx="0">
                  <c:v>68.8</c:v>
                </c:pt>
                <c:pt idx="1">
                  <c:v>76.7</c:v>
                </c:pt>
                <c:pt idx="2">
                  <c:v>83.5</c:v>
                </c:pt>
                <c:pt idx="3">
                  <c:v>87.3</c:v>
                </c:pt>
                <c:pt idx="4">
                  <c:v>87.2</c:v>
                </c:pt>
                <c:pt idx="5">
                  <c:v>98.9</c:v>
                </c:pt>
                <c:pt idx="6">
                  <c:v>115.5</c:v>
                </c:pt>
                <c:pt idx="7">
                  <c:v>123.8</c:v>
                </c:pt>
                <c:pt idx="8">
                  <c:v>148.30000000000001</c:v>
                </c:pt>
                <c:pt idx="9">
                  <c:v>149.5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8FF-473B-ACB2-026AE89698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7923087"/>
        <c:axId val="1607937007"/>
      </c:scatterChart>
      <c:valAx>
        <c:axId val="16079230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PIB Real (€B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07937007"/>
        <c:crosses val="autoZero"/>
        <c:crossBetween val="midCat"/>
      </c:valAx>
      <c:valAx>
        <c:axId val="1607937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Receita Total (€B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079230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5955</Words>
  <Characters>32162</Characters>
  <Application>Microsoft Office Word</Application>
  <DocSecurity>0</DocSecurity>
  <Lines>268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Vítor Carvalho Sarmento</dc:creator>
  <cp:keywords/>
  <dc:description/>
  <cp:lastModifiedBy>Adm</cp:lastModifiedBy>
  <cp:revision>2</cp:revision>
  <cp:lastPrinted>2026-05-09T12:17:00Z</cp:lastPrinted>
  <dcterms:created xsi:type="dcterms:W3CDTF">2026-05-09T20:09:00Z</dcterms:created>
  <dcterms:modified xsi:type="dcterms:W3CDTF">2026-05-09T20:09:00Z</dcterms:modified>
</cp:coreProperties>
</file>