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AB7" w:rsidRPr="00297A14" w:rsidRDefault="00007A14" w:rsidP="00232472">
      <w:pPr>
        <w:jc w:val="center"/>
        <w:rPr>
          <w:rFonts w:asciiTheme="majorHAnsi" w:hAnsiTheme="majorHAnsi"/>
          <w:b/>
          <w:sz w:val="36"/>
          <w:szCs w:val="36"/>
        </w:rPr>
      </w:pPr>
      <w:r>
        <w:rPr>
          <w:rFonts w:asciiTheme="majorHAnsi" w:hAnsiTheme="majorHAnsi"/>
          <w:b/>
          <w:sz w:val="36"/>
          <w:szCs w:val="36"/>
        </w:rPr>
        <w:t>Relatório V2-3</w:t>
      </w:r>
    </w:p>
    <w:p w:rsidR="00030AB7" w:rsidRPr="00297A14" w:rsidRDefault="00232472" w:rsidP="00232472">
      <w:pPr>
        <w:jc w:val="center"/>
        <w:rPr>
          <w:rFonts w:asciiTheme="majorHAnsi" w:hAnsiTheme="majorHAnsi"/>
          <w:b/>
          <w:sz w:val="36"/>
          <w:szCs w:val="36"/>
        </w:rPr>
      </w:pPr>
      <w:r w:rsidRPr="00297A14">
        <w:rPr>
          <w:rFonts w:asciiTheme="majorHAnsi" w:hAnsiTheme="majorHAnsi"/>
          <w:b/>
          <w:sz w:val="36"/>
          <w:szCs w:val="36"/>
        </w:rPr>
        <w:t>Nota Fiscal Paulista.</w:t>
      </w:r>
    </w:p>
    <w:p w:rsidR="00030AB7" w:rsidRPr="00297A14" w:rsidRDefault="00030AB7" w:rsidP="00030AB7">
      <w:pPr>
        <w:jc w:val="center"/>
        <w:rPr>
          <w:rFonts w:asciiTheme="majorHAnsi" w:hAnsiTheme="majorHAnsi"/>
          <w:b/>
          <w:sz w:val="36"/>
          <w:szCs w:val="36"/>
        </w:rPr>
      </w:pPr>
      <w:r w:rsidRPr="00297A14">
        <w:rPr>
          <w:rFonts w:asciiTheme="majorHAnsi" w:hAnsiTheme="majorHAnsi"/>
          <w:b/>
          <w:sz w:val="36"/>
          <w:szCs w:val="36"/>
        </w:rPr>
        <w:t>Vitor Grillo – 11193687</w:t>
      </w:r>
    </w:p>
    <w:p w:rsidR="00B15F4E" w:rsidRPr="00297A14" w:rsidRDefault="00030AB7" w:rsidP="00232472">
      <w:pPr>
        <w:pStyle w:val="PargrafodaLista"/>
        <w:numPr>
          <w:ilvl w:val="0"/>
          <w:numId w:val="2"/>
        </w:numPr>
        <w:jc w:val="both"/>
        <w:rPr>
          <w:rFonts w:asciiTheme="majorHAnsi" w:hAnsiTheme="majorHAnsi"/>
          <w:sz w:val="24"/>
          <w:szCs w:val="24"/>
        </w:rPr>
      </w:pPr>
      <w:r w:rsidRPr="00297A14">
        <w:rPr>
          <w:rFonts w:asciiTheme="majorHAnsi" w:hAnsiTheme="majorHAnsi"/>
          <w:b/>
          <w:sz w:val="36"/>
          <w:szCs w:val="36"/>
        </w:rPr>
        <w:t>Introdução:</w:t>
      </w:r>
      <w:r w:rsidR="00B15F4E" w:rsidRPr="00297A14">
        <w:rPr>
          <w:rFonts w:asciiTheme="majorHAnsi" w:hAnsiTheme="majorHAnsi"/>
          <w:b/>
          <w:sz w:val="36"/>
          <w:szCs w:val="36"/>
        </w:rPr>
        <w:t xml:space="preserve"> </w:t>
      </w:r>
    </w:p>
    <w:p w:rsidR="00B45057" w:rsidRPr="00297A14" w:rsidRDefault="00232472" w:rsidP="00232472">
      <w:pPr>
        <w:pStyle w:val="PargrafodaLista"/>
        <w:jc w:val="both"/>
        <w:rPr>
          <w:rFonts w:asciiTheme="majorHAnsi" w:hAnsiTheme="majorHAnsi"/>
          <w:sz w:val="20"/>
          <w:szCs w:val="20"/>
        </w:rPr>
      </w:pPr>
      <w:r w:rsidRPr="00297A14">
        <w:rPr>
          <w:rFonts w:asciiTheme="majorHAnsi" w:hAnsiTheme="majorHAnsi"/>
        </w:rPr>
        <w:t>V</w:t>
      </w:r>
      <w:r w:rsidR="00B45057" w:rsidRPr="00297A14">
        <w:rPr>
          <w:rFonts w:asciiTheme="majorHAnsi" w:hAnsiTheme="majorHAnsi"/>
        </w:rPr>
        <w:t>isa gerar créditos aos consumidores, os cidadãos e as empresas. Para isso, basta o consumidor solicitar o documento fiscal no ato da compra e informar o seu CPF ou CNPJ. Os estabelecimentos comerciais enviarão periodicamente essas informações para</w:t>
      </w:r>
      <w:r w:rsidRPr="00297A14">
        <w:rPr>
          <w:rFonts w:asciiTheme="majorHAnsi" w:hAnsiTheme="majorHAnsi"/>
        </w:rPr>
        <w:t xml:space="preserve"> o software</w:t>
      </w:r>
      <w:r w:rsidR="00B45057" w:rsidRPr="00297A14">
        <w:rPr>
          <w:rFonts w:asciiTheme="majorHAnsi" w:hAnsiTheme="majorHAnsi"/>
        </w:rPr>
        <w:t>, que calculará o crédito do consumidor. Esse crédito poderá ser utilizado pelo consumidor de diversas formas, tais como redução do valor do IPVA, crédito em conta corrente, depósito em cartão de crédito, ou mesmo transferido para outra pessoa física.</w:t>
      </w:r>
    </w:p>
    <w:p w:rsidR="00232472" w:rsidRPr="00297A14" w:rsidRDefault="00030AB7" w:rsidP="00232472">
      <w:pPr>
        <w:pStyle w:val="PargrafodaLista"/>
        <w:numPr>
          <w:ilvl w:val="0"/>
          <w:numId w:val="1"/>
        </w:numPr>
        <w:jc w:val="both"/>
        <w:rPr>
          <w:rFonts w:asciiTheme="majorHAnsi" w:hAnsiTheme="majorHAnsi"/>
          <w:b/>
          <w:sz w:val="36"/>
          <w:szCs w:val="36"/>
        </w:rPr>
      </w:pPr>
      <w:r w:rsidRPr="00297A14">
        <w:rPr>
          <w:rFonts w:asciiTheme="majorHAnsi" w:hAnsiTheme="majorHAnsi"/>
          <w:b/>
          <w:sz w:val="36"/>
          <w:szCs w:val="36"/>
        </w:rPr>
        <w:t>Objetivos</w:t>
      </w:r>
      <w:r w:rsidR="00B15F4E" w:rsidRPr="00297A14">
        <w:rPr>
          <w:rFonts w:asciiTheme="majorHAnsi" w:hAnsiTheme="majorHAnsi"/>
          <w:b/>
          <w:sz w:val="36"/>
          <w:szCs w:val="36"/>
        </w:rPr>
        <w:t>:</w:t>
      </w:r>
    </w:p>
    <w:p w:rsidR="00232472" w:rsidRPr="00232472" w:rsidRDefault="00232472" w:rsidP="00232472">
      <w:pPr>
        <w:spacing w:before="100" w:beforeAutospacing="1" w:after="100" w:afterAutospacing="1" w:line="240" w:lineRule="auto"/>
        <w:ind w:left="708"/>
        <w:jc w:val="both"/>
        <w:rPr>
          <w:rFonts w:asciiTheme="majorHAnsi" w:eastAsia="Times New Roman" w:hAnsiTheme="majorHAnsi" w:cs="Times New Roman"/>
          <w:sz w:val="24"/>
          <w:szCs w:val="24"/>
          <w:lang w:eastAsia="pt-BR"/>
        </w:rPr>
      </w:pPr>
      <w:r w:rsidRPr="00297A14">
        <w:rPr>
          <w:rFonts w:asciiTheme="majorHAnsi" w:hAnsiTheme="majorHAnsi"/>
        </w:rPr>
        <w:t xml:space="preserve">É um programa de estimulo à cidadania fiscal no Estado de São Paulo, que tem por objetivo estimular os consumidores a exigirem a entrega do documento fiscal na hora da compra, </w:t>
      </w:r>
      <w:r w:rsidRPr="00297A14">
        <w:rPr>
          <w:rFonts w:asciiTheme="majorHAnsi" w:eastAsia="Times New Roman" w:hAnsiTheme="majorHAnsi" w:cs="Times New Roman"/>
          <w:sz w:val="24"/>
          <w:szCs w:val="24"/>
          <w:lang w:eastAsia="pt-BR"/>
        </w:rPr>
        <w:t>e</w:t>
      </w:r>
      <w:r w:rsidRPr="00232472">
        <w:rPr>
          <w:rFonts w:asciiTheme="majorHAnsi" w:eastAsia="Times New Roman" w:hAnsiTheme="majorHAnsi" w:cs="Times New Roman"/>
          <w:sz w:val="24"/>
          <w:szCs w:val="24"/>
          <w:lang w:eastAsia="pt-BR"/>
        </w:rPr>
        <w:t xml:space="preserve">ntre os </w:t>
      </w:r>
      <w:r w:rsidRPr="00297A14">
        <w:rPr>
          <w:rFonts w:asciiTheme="majorHAnsi" w:eastAsia="Times New Roman" w:hAnsiTheme="majorHAnsi" w:cs="Times New Roman"/>
          <w:sz w:val="24"/>
          <w:szCs w:val="24"/>
          <w:lang w:eastAsia="pt-BR"/>
        </w:rPr>
        <w:t>objetivos</w:t>
      </w:r>
      <w:r w:rsidRPr="00232472">
        <w:rPr>
          <w:rFonts w:asciiTheme="majorHAnsi" w:eastAsia="Times New Roman" w:hAnsiTheme="majorHAnsi" w:cs="Times New Roman"/>
          <w:sz w:val="24"/>
          <w:szCs w:val="24"/>
          <w:lang w:eastAsia="pt-BR"/>
        </w:rPr>
        <w:t xml:space="preserve"> do programa para o estabelecimento comercial, destacam-se:</w:t>
      </w:r>
    </w:p>
    <w:p w:rsidR="00232472" w:rsidRPr="00232472" w:rsidRDefault="00232472" w:rsidP="00232472">
      <w:pPr>
        <w:numPr>
          <w:ilvl w:val="0"/>
          <w:numId w:val="5"/>
        </w:numPr>
        <w:spacing w:before="100" w:beforeAutospacing="1" w:after="100" w:afterAutospacing="1" w:line="240" w:lineRule="auto"/>
        <w:jc w:val="both"/>
        <w:rPr>
          <w:rFonts w:asciiTheme="majorHAnsi" w:eastAsia="Times New Roman" w:hAnsiTheme="majorHAnsi" w:cs="Times New Roman"/>
          <w:sz w:val="24"/>
          <w:szCs w:val="24"/>
          <w:lang w:eastAsia="pt-BR"/>
        </w:rPr>
      </w:pPr>
      <w:r w:rsidRPr="00232472">
        <w:rPr>
          <w:rFonts w:asciiTheme="majorHAnsi" w:eastAsia="Times New Roman" w:hAnsiTheme="majorHAnsi" w:cs="Times New Roman"/>
          <w:sz w:val="24"/>
          <w:szCs w:val="24"/>
          <w:lang w:eastAsia="pt-BR"/>
        </w:rPr>
        <w:t>Redução no tempo de guarda (armazenagem) dos documentos fiscais;</w:t>
      </w:r>
    </w:p>
    <w:p w:rsidR="00232472" w:rsidRPr="00232472" w:rsidRDefault="00232472" w:rsidP="00232472">
      <w:pPr>
        <w:numPr>
          <w:ilvl w:val="0"/>
          <w:numId w:val="5"/>
        </w:numPr>
        <w:spacing w:before="100" w:beforeAutospacing="1" w:after="100" w:afterAutospacing="1" w:line="240" w:lineRule="auto"/>
        <w:jc w:val="both"/>
        <w:rPr>
          <w:rFonts w:asciiTheme="majorHAnsi" w:eastAsia="Times New Roman" w:hAnsiTheme="majorHAnsi" w:cs="Times New Roman"/>
          <w:sz w:val="24"/>
          <w:szCs w:val="24"/>
          <w:lang w:eastAsia="pt-BR"/>
        </w:rPr>
      </w:pPr>
      <w:r w:rsidRPr="00232472">
        <w:rPr>
          <w:rFonts w:asciiTheme="majorHAnsi" w:eastAsia="Times New Roman" w:hAnsiTheme="majorHAnsi" w:cs="Times New Roman"/>
          <w:sz w:val="24"/>
          <w:szCs w:val="24"/>
          <w:lang w:eastAsia="pt-BR"/>
        </w:rPr>
        <w:t>Dispensa de AIDF– Autorização para Impressão de Documentos Fiscais no caso de e</w:t>
      </w:r>
      <w:r w:rsidRPr="00297A14">
        <w:rPr>
          <w:rFonts w:asciiTheme="majorHAnsi" w:eastAsia="Times New Roman" w:hAnsiTheme="majorHAnsi" w:cs="Times New Roman"/>
          <w:sz w:val="24"/>
          <w:szCs w:val="24"/>
          <w:lang w:eastAsia="pt-BR"/>
        </w:rPr>
        <w:t>missão exclusiva da Nota Fiscal.</w:t>
      </w:r>
    </w:p>
    <w:p w:rsidR="00B15F4E" w:rsidRPr="00297A14" w:rsidRDefault="00232472" w:rsidP="00232472">
      <w:pPr>
        <w:numPr>
          <w:ilvl w:val="0"/>
          <w:numId w:val="5"/>
        </w:numPr>
        <w:spacing w:before="100" w:beforeAutospacing="1" w:after="100" w:afterAutospacing="1" w:line="240" w:lineRule="auto"/>
        <w:jc w:val="both"/>
        <w:rPr>
          <w:rFonts w:asciiTheme="majorHAnsi" w:hAnsiTheme="majorHAnsi"/>
          <w:b/>
          <w:sz w:val="36"/>
          <w:szCs w:val="36"/>
        </w:rPr>
      </w:pPr>
      <w:r w:rsidRPr="00297A14">
        <w:rPr>
          <w:rFonts w:asciiTheme="majorHAnsi" w:eastAsia="Times New Roman" w:hAnsiTheme="majorHAnsi" w:cs="Times New Roman"/>
          <w:sz w:val="24"/>
          <w:szCs w:val="24"/>
          <w:lang w:eastAsia="pt-BR"/>
        </w:rPr>
        <w:t>Fortalecimento ao combate à</w:t>
      </w:r>
      <w:r w:rsidRPr="00232472">
        <w:rPr>
          <w:rFonts w:asciiTheme="majorHAnsi" w:eastAsia="Times New Roman" w:hAnsiTheme="majorHAnsi" w:cs="Times New Roman"/>
          <w:sz w:val="24"/>
          <w:szCs w:val="24"/>
          <w:lang w:eastAsia="pt-BR"/>
        </w:rPr>
        <w:t xml:space="preserve"> pirataria de produtos</w:t>
      </w:r>
      <w:r w:rsidRPr="00297A14">
        <w:rPr>
          <w:rFonts w:asciiTheme="majorHAnsi" w:eastAsia="Times New Roman" w:hAnsiTheme="majorHAnsi" w:cs="Times New Roman"/>
          <w:sz w:val="24"/>
          <w:szCs w:val="24"/>
          <w:lang w:eastAsia="pt-BR"/>
        </w:rPr>
        <w:t>.</w:t>
      </w:r>
    </w:p>
    <w:p w:rsidR="00030AB7" w:rsidRPr="00297A14" w:rsidRDefault="00030AB7" w:rsidP="00232472">
      <w:pPr>
        <w:pStyle w:val="PargrafodaLista"/>
        <w:numPr>
          <w:ilvl w:val="0"/>
          <w:numId w:val="1"/>
        </w:numPr>
        <w:jc w:val="both"/>
        <w:rPr>
          <w:rFonts w:asciiTheme="majorHAnsi" w:hAnsiTheme="majorHAnsi"/>
          <w:b/>
          <w:sz w:val="36"/>
          <w:szCs w:val="36"/>
        </w:rPr>
      </w:pPr>
      <w:r w:rsidRPr="00297A14">
        <w:rPr>
          <w:rFonts w:asciiTheme="majorHAnsi" w:hAnsiTheme="majorHAnsi"/>
          <w:b/>
          <w:sz w:val="36"/>
          <w:szCs w:val="36"/>
        </w:rPr>
        <w:t>Desenvolvimento</w:t>
      </w:r>
      <w:r w:rsidR="00B15F4E" w:rsidRPr="00297A14">
        <w:rPr>
          <w:rFonts w:asciiTheme="majorHAnsi" w:hAnsiTheme="majorHAnsi"/>
          <w:b/>
          <w:sz w:val="36"/>
          <w:szCs w:val="36"/>
        </w:rPr>
        <w:t>:</w:t>
      </w:r>
      <w:r w:rsidR="00B45057" w:rsidRPr="00297A14">
        <w:rPr>
          <w:rFonts w:asciiTheme="majorHAnsi" w:hAnsiTheme="majorHAnsi"/>
          <w:b/>
          <w:sz w:val="36"/>
          <w:szCs w:val="36"/>
        </w:rPr>
        <w:t xml:space="preserve"> </w:t>
      </w:r>
    </w:p>
    <w:p w:rsidR="00B45057" w:rsidRPr="00297A14" w:rsidRDefault="00B45057" w:rsidP="00232472">
      <w:pPr>
        <w:ind w:left="708"/>
        <w:jc w:val="both"/>
        <w:rPr>
          <w:rFonts w:asciiTheme="majorHAnsi" w:hAnsiTheme="majorHAnsi"/>
          <w:sz w:val="24"/>
          <w:szCs w:val="24"/>
        </w:rPr>
      </w:pPr>
      <w:r w:rsidRPr="00297A14">
        <w:rPr>
          <w:rFonts w:asciiTheme="majorHAnsi" w:hAnsiTheme="majorHAnsi"/>
          <w:sz w:val="24"/>
          <w:szCs w:val="24"/>
        </w:rPr>
        <w:t>O programa possuirá um menu inicial ao qual o vendedor(a) terá um acesso especifico para fazer</w:t>
      </w:r>
      <w:r w:rsidR="00B0060B">
        <w:rPr>
          <w:rFonts w:asciiTheme="majorHAnsi" w:hAnsiTheme="majorHAnsi"/>
          <w:sz w:val="24"/>
          <w:szCs w:val="24"/>
        </w:rPr>
        <w:t xml:space="preserve"> </w:t>
      </w:r>
      <w:proofErr w:type="spellStart"/>
      <w:r w:rsidR="00B0060B">
        <w:rPr>
          <w:rFonts w:asciiTheme="majorHAnsi" w:hAnsiTheme="majorHAnsi"/>
          <w:sz w:val="24"/>
          <w:szCs w:val="24"/>
        </w:rPr>
        <w:t>login</w:t>
      </w:r>
      <w:proofErr w:type="spellEnd"/>
      <w:r w:rsidR="00B0060B">
        <w:rPr>
          <w:rFonts w:asciiTheme="majorHAnsi" w:hAnsiTheme="majorHAnsi"/>
          <w:sz w:val="24"/>
          <w:szCs w:val="24"/>
        </w:rPr>
        <w:t xml:space="preserve"> ao sistema, já dentro do sistema poderá ser realizado</w:t>
      </w:r>
      <w:r w:rsidRPr="00297A14">
        <w:rPr>
          <w:rFonts w:asciiTheme="majorHAnsi" w:hAnsiTheme="majorHAnsi"/>
          <w:sz w:val="24"/>
          <w:szCs w:val="24"/>
        </w:rPr>
        <w:t xml:space="preserve"> o cadastro do CPF do cliente,</w:t>
      </w:r>
      <w:r w:rsidR="00B0060B">
        <w:rPr>
          <w:rFonts w:asciiTheme="majorHAnsi" w:hAnsiTheme="majorHAnsi"/>
          <w:sz w:val="24"/>
          <w:szCs w:val="24"/>
        </w:rPr>
        <w:t xml:space="preserve"> e</w:t>
      </w:r>
      <w:r w:rsidRPr="00297A14">
        <w:rPr>
          <w:rFonts w:asciiTheme="majorHAnsi" w:hAnsiTheme="majorHAnsi"/>
          <w:sz w:val="24"/>
          <w:szCs w:val="24"/>
        </w:rPr>
        <w:t xml:space="preserve"> já no mesmo menu o usuário poderá ter acesso a sua conta onde poderá acessar o seu crédito referente as suas compras e que pode ser depositado dentro de 5 anos em sua conta corrente, poupança ou utilizado como débito no valor do IPVA.</w:t>
      </w:r>
    </w:p>
    <w:p w:rsidR="00B45057" w:rsidRPr="00297A14" w:rsidRDefault="00B45057" w:rsidP="00232472">
      <w:pPr>
        <w:pStyle w:val="PargrafodaLista"/>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pt-BR"/>
        </w:rPr>
      </w:pPr>
      <w:r w:rsidRPr="00297A14">
        <w:rPr>
          <w:rFonts w:asciiTheme="majorHAnsi" w:eastAsia="Times New Roman" w:hAnsiTheme="majorHAnsi" w:cs="Times New Roman"/>
          <w:sz w:val="24"/>
          <w:szCs w:val="24"/>
          <w:lang w:eastAsia="pt-BR"/>
        </w:rPr>
        <w:t>Em cada compra, o consumidor informa seu CPF e solicita sua Nota Fiscal/Cupom Fiscal ou Nota Fiscal on-line.</w:t>
      </w:r>
    </w:p>
    <w:p w:rsidR="00B45057" w:rsidRPr="00297A14" w:rsidRDefault="00B45057" w:rsidP="00232472">
      <w:pPr>
        <w:pStyle w:val="PargrafodaLista"/>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pt-BR"/>
        </w:rPr>
      </w:pPr>
      <w:r w:rsidRPr="00297A14">
        <w:rPr>
          <w:rFonts w:asciiTheme="majorHAnsi" w:eastAsia="Times New Roman" w:hAnsiTheme="majorHAnsi" w:cs="Times New Roman"/>
          <w:sz w:val="24"/>
          <w:szCs w:val="24"/>
          <w:lang w:eastAsia="pt-BR"/>
        </w:rPr>
        <w:t>O vendedor registra o CPF do comprador. Ele emite o Cupom Fiscal, a Nota Fiscal Tradicional ou gera, no site, a Nota on-line</w:t>
      </w:r>
    </w:p>
    <w:p w:rsidR="00B45057" w:rsidRPr="00297A14" w:rsidRDefault="00B45057" w:rsidP="00232472">
      <w:pPr>
        <w:pStyle w:val="PargrafodaLista"/>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pt-BR"/>
        </w:rPr>
      </w:pPr>
      <w:r w:rsidRPr="00297A14">
        <w:rPr>
          <w:rFonts w:asciiTheme="majorHAnsi" w:eastAsia="Times New Roman" w:hAnsiTheme="majorHAnsi" w:cs="Times New Roman"/>
          <w:sz w:val="24"/>
          <w:szCs w:val="24"/>
          <w:lang w:eastAsia="pt-BR"/>
        </w:rPr>
        <w:t>Após o recolhimento do ICMS pelo estabelecimento, a Secretaria da Fazenda creditará ao consumidor a parcela do imposto a que ele tem direito, proporcional ao valor da compra.</w:t>
      </w:r>
    </w:p>
    <w:p w:rsidR="00B15F4E" w:rsidRDefault="00B45057" w:rsidP="00232472">
      <w:pPr>
        <w:pStyle w:val="PargrafodaLista"/>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pt-BR"/>
        </w:rPr>
      </w:pPr>
      <w:r w:rsidRPr="00297A14">
        <w:rPr>
          <w:rFonts w:asciiTheme="majorHAnsi" w:eastAsia="Times New Roman" w:hAnsiTheme="majorHAnsi" w:cs="Times New Roman"/>
          <w:sz w:val="24"/>
          <w:szCs w:val="24"/>
          <w:lang w:eastAsia="pt-BR"/>
        </w:rPr>
        <w:t>O crédito poderá, dentro de cinco anos, ser utilizado para reduzir o valor do débito do IPVA, transferido para conta corrente ou poupança.</w:t>
      </w:r>
    </w:p>
    <w:p w:rsidR="00B0060B" w:rsidRPr="00297A14" w:rsidRDefault="00B0060B" w:rsidP="00B0060B">
      <w:pPr>
        <w:pStyle w:val="PargrafodaLista"/>
        <w:spacing w:before="100" w:beforeAutospacing="1" w:after="100" w:afterAutospacing="1" w:line="240" w:lineRule="auto"/>
        <w:ind w:left="1440"/>
        <w:jc w:val="both"/>
        <w:rPr>
          <w:rFonts w:asciiTheme="majorHAnsi" w:eastAsia="Times New Roman" w:hAnsiTheme="majorHAnsi" w:cs="Times New Roman"/>
          <w:sz w:val="24"/>
          <w:szCs w:val="24"/>
          <w:lang w:eastAsia="pt-BR"/>
        </w:rPr>
      </w:pPr>
    </w:p>
    <w:p w:rsidR="00232472" w:rsidRPr="00297A14" w:rsidRDefault="00232472" w:rsidP="00297A14">
      <w:pPr>
        <w:pStyle w:val="NormalWeb"/>
        <w:numPr>
          <w:ilvl w:val="0"/>
          <w:numId w:val="4"/>
        </w:numPr>
        <w:rPr>
          <w:rFonts w:asciiTheme="majorHAnsi" w:hAnsiTheme="majorHAnsi"/>
        </w:rPr>
      </w:pPr>
      <w:r w:rsidRPr="00297A14">
        <w:rPr>
          <w:rStyle w:val="Forte"/>
          <w:rFonts w:asciiTheme="majorHAnsi" w:hAnsiTheme="majorHAnsi"/>
        </w:rPr>
        <w:lastRenderedPageBreak/>
        <w:t>Cálculo dos créditos</w:t>
      </w:r>
    </w:p>
    <w:p w:rsidR="00232472" w:rsidRPr="00297A14" w:rsidRDefault="00232472" w:rsidP="00232472">
      <w:pPr>
        <w:pStyle w:val="NormalWeb"/>
        <w:ind w:left="720" w:firstLine="696"/>
        <w:rPr>
          <w:rFonts w:asciiTheme="majorHAnsi" w:hAnsiTheme="majorHAnsi"/>
        </w:rPr>
      </w:pPr>
      <w:r w:rsidRPr="00297A14">
        <w:rPr>
          <w:rFonts w:asciiTheme="majorHAnsi" w:hAnsiTheme="majorHAnsi"/>
        </w:rPr>
        <w:t>O cálculo se dá pela seguinte fórmula:</w:t>
      </w:r>
    </w:p>
    <w:p w:rsidR="00232472" w:rsidRPr="00297A14" w:rsidRDefault="00232472" w:rsidP="00232472">
      <w:pPr>
        <w:pStyle w:val="NormalWeb"/>
        <w:ind w:left="720" w:firstLine="696"/>
        <w:rPr>
          <w:rFonts w:asciiTheme="majorHAnsi" w:hAnsiTheme="majorHAnsi"/>
        </w:rPr>
      </w:pPr>
      <w:r w:rsidRPr="00297A14">
        <w:rPr>
          <w:rStyle w:val="nfase"/>
          <w:rFonts w:asciiTheme="majorHAnsi" w:hAnsiTheme="majorHAnsi"/>
        </w:rPr>
        <w:t>CA (k, m, f) = 30% x VICMSR (f, m) x VA (k, m, f) / VTS (f, m)</w:t>
      </w:r>
      <w:r w:rsidRPr="00297A14">
        <w:rPr>
          <w:rFonts w:asciiTheme="majorHAnsi" w:hAnsiTheme="majorHAnsi"/>
        </w:rPr>
        <w:t>, onde:</w:t>
      </w:r>
    </w:p>
    <w:p w:rsidR="00B0060B" w:rsidRDefault="00232472" w:rsidP="00007A14">
      <w:pPr>
        <w:pStyle w:val="NormalWeb"/>
        <w:numPr>
          <w:ilvl w:val="1"/>
          <w:numId w:val="5"/>
        </w:numPr>
        <w:rPr>
          <w:rFonts w:asciiTheme="majorHAnsi" w:hAnsiTheme="majorHAnsi"/>
        </w:rPr>
      </w:pPr>
      <w:r w:rsidRPr="00297A14">
        <w:rPr>
          <w:rFonts w:asciiTheme="majorHAnsi" w:hAnsiTheme="majorHAnsi"/>
        </w:rPr>
        <w:t>VICMSR (f, m) corresponde ao valor do ICMS recolhido pelo estabelecimento fornecedor “f” relativamente ao mês de referência “m”, para fins do cálculo de que trata esta resolução;</w:t>
      </w:r>
      <w:r w:rsidRPr="00297A14">
        <w:rPr>
          <w:rFonts w:asciiTheme="majorHAnsi" w:hAnsiTheme="majorHAnsi"/>
        </w:rPr>
        <w:br/>
        <w:t>II- VA (k, m, f) corresponde ao valor da aquisição efetuada pelo consumidor “k”, de mercadorias, bens ou serviços, do estabelecimento fornecedor “f”, no mês de referência “m”, para fins do cálculo de que trata esta resolução;</w:t>
      </w:r>
      <w:r w:rsidRPr="00297A14">
        <w:rPr>
          <w:rFonts w:asciiTheme="majorHAnsi" w:hAnsiTheme="majorHAnsi"/>
        </w:rPr>
        <w:br/>
        <w:t>III- VTS (f, m) corresponde ao valor total das operações de saída e prestações realizadas pelo estabelecimento fornecedor “f” no mês de referência “m”, para fins do cálculo de que trata esta resolução.</w:t>
      </w:r>
    </w:p>
    <w:p w:rsidR="00007A14" w:rsidRPr="00007A14" w:rsidRDefault="00007A14" w:rsidP="00007A14">
      <w:pPr>
        <w:pStyle w:val="NormalWeb"/>
        <w:numPr>
          <w:ilvl w:val="0"/>
          <w:numId w:val="4"/>
        </w:numPr>
        <w:rPr>
          <w:rFonts w:asciiTheme="majorHAnsi" w:hAnsiTheme="majorHAnsi"/>
          <w:b/>
        </w:rPr>
      </w:pPr>
      <w:r>
        <w:rPr>
          <w:rFonts w:asciiTheme="majorHAnsi" w:hAnsiTheme="majorHAnsi"/>
          <w:b/>
        </w:rPr>
        <w:t>Calculo dos créditos Simplificado</w:t>
      </w:r>
    </w:p>
    <w:p w:rsidR="00007A14" w:rsidRDefault="00C164B0" w:rsidP="00007A14">
      <w:pPr>
        <w:pStyle w:val="NormalWeb"/>
        <w:ind w:left="1440"/>
        <w:rPr>
          <w:rFonts w:asciiTheme="majorHAnsi" w:hAnsiTheme="majorHAnsi"/>
        </w:rPr>
      </w:pPr>
      <w:r>
        <w:rPr>
          <w:noProof/>
        </w:rPr>
        <w:drawing>
          <wp:inline distT="0" distB="0" distL="0" distR="0" wp14:anchorId="5B7EE150" wp14:editId="6193C2B3">
            <wp:extent cx="4610100" cy="48863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4886325"/>
                    </a:xfrm>
                    <a:prstGeom prst="rect">
                      <a:avLst/>
                    </a:prstGeom>
                  </pic:spPr>
                </pic:pic>
              </a:graphicData>
            </a:graphic>
          </wp:inline>
        </w:drawing>
      </w:r>
    </w:p>
    <w:p w:rsidR="00007A14" w:rsidRDefault="00007A14" w:rsidP="00007A14">
      <w:pPr>
        <w:pStyle w:val="NormalWeb"/>
        <w:ind w:left="720"/>
        <w:rPr>
          <w:rFonts w:asciiTheme="majorHAnsi" w:hAnsiTheme="majorHAnsi"/>
        </w:rPr>
      </w:pPr>
      <w:r>
        <w:rPr>
          <w:rFonts w:asciiTheme="majorHAnsi" w:hAnsiTheme="majorHAnsi"/>
        </w:rPr>
        <w:lastRenderedPageBreak/>
        <w:t xml:space="preserve">Baseando-se no desenvolvimento acima foi codificado usando </w:t>
      </w:r>
      <w:proofErr w:type="spellStart"/>
      <w:r>
        <w:rPr>
          <w:rFonts w:asciiTheme="majorHAnsi" w:hAnsiTheme="majorHAnsi"/>
        </w:rPr>
        <w:t>netbeans</w:t>
      </w:r>
      <w:proofErr w:type="spellEnd"/>
      <w:r>
        <w:rPr>
          <w:rFonts w:asciiTheme="majorHAnsi" w:hAnsiTheme="majorHAnsi"/>
        </w:rPr>
        <w:t xml:space="preserve"> a seguinte interface para </w:t>
      </w:r>
      <w:proofErr w:type="spellStart"/>
      <w:r>
        <w:rPr>
          <w:rFonts w:asciiTheme="majorHAnsi" w:hAnsiTheme="majorHAnsi"/>
        </w:rPr>
        <w:t>calculo</w:t>
      </w:r>
      <w:proofErr w:type="spellEnd"/>
      <w:r>
        <w:rPr>
          <w:rFonts w:asciiTheme="majorHAnsi" w:hAnsiTheme="majorHAnsi"/>
        </w:rPr>
        <w:t xml:space="preserve"> </w:t>
      </w:r>
      <w:proofErr w:type="spellStart"/>
      <w:r>
        <w:rPr>
          <w:rFonts w:asciiTheme="majorHAnsi" w:hAnsiTheme="majorHAnsi"/>
        </w:rPr>
        <w:t>simplicado</w:t>
      </w:r>
      <w:proofErr w:type="spellEnd"/>
      <w:r>
        <w:rPr>
          <w:rFonts w:asciiTheme="majorHAnsi" w:hAnsiTheme="majorHAnsi"/>
        </w:rPr>
        <w:t xml:space="preserve"> de crédito da NFP conforme código:</w:t>
      </w:r>
    </w:p>
    <w:p w:rsidR="00007A14" w:rsidRDefault="00007A14" w:rsidP="00007A14">
      <w:pPr>
        <w:pStyle w:val="NormalWeb"/>
        <w:numPr>
          <w:ilvl w:val="0"/>
          <w:numId w:val="4"/>
        </w:numPr>
        <w:rPr>
          <w:rFonts w:asciiTheme="majorHAnsi" w:hAnsiTheme="majorHAnsi"/>
          <w:b/>
        </w:rPr>
      </w:pPr>
      <w:r w:rsidRPr="00007A14">
        <w:rPr>
          <w:rFonts w:asciiTheme="majorHAnsi" w:hAnsiTheme="majorHAnsi"/>
          <w:b/>
        </w:rPr>
        <w:t xml:space="preserve">Interface </w:t>
      </w:r>
      <w:proofErr w:type="spellStart"/>
      <w:r>
        <w:rPr>
          <w:rFonts w:asciiTheme="majorHAnsi" w:hAnsiTheme="majorHAnsi"/>
          <w:b/>
        </w:rPr>
        <w:t>Login</w:t>
      </w:r>
      <w:proofErr w:type="spellEnd"/>
      <w:r>
        <w:rPr>
          <w:rFonts w:asciiTheme="majorHAnsi" w:hAnsiTheme="majorHAnsi"/>
          <w:b/>
        </w:rPr>
        <w:t xml:space="preserve"> Sistema</w:t>
      </w:r>
      <w:r w:rsidRPr="00007A14">
        <w:rPr>
          <w:rFonts w:asciiTheme="majorHAnsi" w:hAnsiTheme="majorHAnsi"/>
          <w:b/>
        </w:rPr>
        <w:t>.</w:t>
      </w:r>
    </w:p>
    <w:p w:rsidR="00C164B0" w:rsidRPr="00007A14" w:rsidRDefault="00C164B0" w:rsidP="00C164B0">
      <w:pPr>
        <w:pStyle w:val="NormalWeb"/>
        <w:ind w:left="1440"/>
        <w:rPr>
          <w:rFonts w:asciiTheme="majorHAnsi" w:hAnsiTheme="majorHAnsi"/>
          <w:b/>
        </w:rPr>
      </w:pPr>
      <w:r>
        <w:rPr>
          <w:noProof/>
        </w:rPr>
        <w:drawing>
          <wp:inline distT="0" distB="0" distL="0" distR="0" wp14:anchorId="00C93703" wp14:editId="508D1085">
            <wp:extent cx="3962400" cy="3609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3609975"/>
                    </a:xfrm>
                    <a:prstGeom prst="rect">
                      <a:avLst/>
                    </a:prstGeom>
                  </pic:spPr>
                </pic:pic>
              </a:graphicData>
            </a:graphic>
          </wp:inline>
        </w:drawing>
      </w:r>
    </w:p>
    <w:p w:rsidR="00B45057" w:rsidRDefault="00B0060B" w:rsidP="00C164B0">
      <w:pPr>
        <w:pStyle w:val="NormalWeb"/>
        <w:ind w:left="720"/>
        <w:rPr>
          <w:rFonts w:asciiTheme="majorHAnsi" w:hAnsiTheme="majorHAnsi"/>
        </w:rPr>
      </w:pPr>
      <w:r>
        <w:rPr>
          <w:rFonts w:asciiTheme="majorHAnsi" w:hAnsiTheme="majorHAnsi"/>
        </w:rPr>
        <w:t xml:space="preserve">Baseando-se no desenvolvimento acima foi codificado usando </w:t>
      </w:r>
      <w:proofErr w:type="spellStart"/>
      <w:r>
        <w:rPr>
          <w:rFonts w:asciiTheme="majorHAnsi" w:hAnsiTheme="majorHAnsi"/>
        </w:rPr>
        <w:t>netbeans</w:t>
      </w:r>
      <w:proofErr w:type="spellEnd"/>
      <w:r>
        <w:rPr>
          <w:rFonts w:asciiTheme="majorHAnsi" w:hAnsiTheme="majorHAnsi"/>
        </w:rPr>
        <w:t xml:space="preserve"> o seguinte menu para </w:t>
      </w:r>
      <w:proofErr w:type="spellStart"/>
      <w:r>
        <w:rPr>
          <w:rFonts w:asciiTheme="majorHAnsi" w:hAnsiTheme="majorHAnsi"/>
        </w:rPr>
        <w:t>login</w:t>
      </w:r>
      <w:proofErr w:type="spellEnd"/>
      <w:r>
        <w:rPr>
          <w:rFonts w:asciiTheme="majorHAnsi" w:hAnsiTheme="majorHAnsi"/>
        </w:rPr>
        <w:t xml:space="preserve">, </w:t>
      </w:r>
      <w:r w:rsidR="008B23FE">
        <w:rPr>
          <w:rFonts w:asciiTheme="majorHAnsi" w:hAnsiTheme="majorHAnsi"/>
        </w:rPr>
        <w:t xml:space="preserve">onde </w:t>
      </w:r>
      <w:r>
        <w:rPr>
          <w:rFonts w:asciiTheme="majorHAnsi" w:hAnsiTheme="majorHAnsi"/>
        </w:rPr>
        <w:t xml:space="preserve">os vendedores já estão </w:t>
      </w:r>
      <w:proofErr w:type="spellStart"/>
      <w:r>
        <w:rPr>
          <w:rFonts w:asciiTheme="majorHAnsi" w:hAnsiTheme="majorHAnsi"/>
        </w:rPr>
        <w:t>pré</w:t>
      </w:r>
      <w:proofErr w:type="spellEnd"/>
      <w:r>
        <w:rPr>
          <w:rFonts w:asciiTheme="majorHAnsi" w:hAnsiTheme="majorHAnsi"/>
        </w:rPr>
        <w:t xml:space="preserve"> cadastrados em uma base de dados </w:t>
      </w:r>
      <w:proofErr w:type="spellStart"/>
      <w:r>
        <w:rPr>
          <w:rFonts w:asciiTheme="majorHAnsi" w:hAnsiTheme="majorHAnsi"/>
        </w:rPr>
        <w:t>Mysql</w:t>
      </w:r>
      <w:proofErr w:type="spellEnd"/>
      <w:r>
        <w:rPr>
          <w:rFonts w:asciiTheme="majorHAnsi" w:hAnsiTheme="majorHAnsi"/>
        </w:rPr>
        <w:t xml:space="preserve"> que dará acesso ao sistema co</w:t>
      </w:r>
      <w:r w:rsidR="00C164B0">
        <w:rPr>
          <w:rFonts w:asciiTheme="majorHAnsi" w:hAnsiTheme="majorHAnsi"/>
        </w:rPr>
        <w:t>nforme imagem ilustrativa acima.</w:t>
      </w:r>
      <w:r>
        <w:rPr>
          <w:rFonts w:asciiTheme="majorHAnsi" w:hAnsiTheme="majorHAnsi"/>
        </w:rPr>
        <w:tab/>
      </w: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numPr>
          <w:ilvl w:val="0"/>
          <w:numId w:val="4"/>
        </w:numPr>
        <w:rPr>
          <w:rFonts w:asciiTheme="majorHAnsi" w:hAnsiTheme="majorHAnsi"/>
          <w:b/>
        </w:rPr>
      </w:pPr>
      <w:r>
        <w:rPr>
          <w:rFonts w:asciiTheme="majorHAnsi" w:hAnsiTheme="majorHAnsi"/>
          <w:b/>
        </w:rPr>
        <w:t>Exclusão Usuário.</w:t>
      </w:r>
    </w:p>
    <w:p w:rsidR="00C164B0" w:rsidRDefault="00C164B0" w:rsidP="00C164B0">
      <w:pPr>
        <w:pStyle w:val="NormalWeb"/>
        <w:ind w:left="1440"/>
        <w:rPr>
          <w:rFonts w:asciiTheme="majorHAnsi" w:hAnsiTheme="majorHAnsi"/>
          <w:b/>
        </w:rPr>
      </w:pPr>
      <w:r>
        <w:rPr>
          <w:noProof/>
        </w:rPr>
        <w:drawing>
          <wp:inline distT="0" distB="0" distL="0" distR="0" wp14:anchorId="2366455C" wp14:editId="76B7D5E9">
            <wp:extent cx="4257675" cy="34766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3476625"/>
                    </a:xfrm>
                    <a:prstGeom prst="rect">
                      <a:avLst/>
                    </a:prstGeom>
                  </pic:spPr>
                </pic:pic>
              </a:graphicData>
            </a:graphic>
          </wp:inline>
        </w:drawing>
      </w:r>
    </w:p>
    <w:p w:rsidR="00C164B0" w:rsidRDefault="00C164B0" w:rsidP="00C164B0">
      <w:pPr>
        <w:pStyle w:val="NormalWeb"/>
        <w:ind w:left="720"/>
        <w:rPr>
          <w:rFonts w:asciiTheme="majorHAnsi" w:hAnsiTheme="majorHAnsi"/>
        </w:rPr>
      </w:pPr>
      <w:r>
        <w:rPr>
          <w:rFonts w:asciiTheme="majorHAnsi" w:hAnsiTheme="majorHAnsi"/>
        </w:rPr>
        <w:t xml:space="preserve">Baseando-se no desenvolvimento acima </w:t>
      </w:r>
      <w:r>
        <w:rPr>
          <w:rFonts w:asciiTheme="majorHAnsi" w:hAnsiTheme="majorHAnsi"/>
        </w:rPr>
        <w:t xml:space="preserve">foi codificado usando </w:t>
      </w:r>
      <w:proofErr w:type="spellStart"/>
      <w:r>
        <w:rPr>
          <w:rFonts w:asciiTheme="majorHAnsi" w:hAnsiTheme="majorHAnsi"/>
        </w:rPr>
        <w:t>netbeans</w:t>
      </w:r>
      <w:proofErr w:type="spellEnd"/>
      <w:r>
        <w:rPr>
          <w:rFonts w:asciiTheme="majorHAnsi" w:hAnsiTheme="majorHAnsi"/>
        </w:rPr>
        <w:t xml:space="preserve"> a seguinte interface</w:t>
      </w:r>
      <w:r>
        <w:rPr>
          <w:rFonts w:asciiTheme="majorHAnsi" w:hAnsiTheme="majorHAnsi"/>
        </w:rPr>
        <w:t xml:space="preserve">, onde </w:t>
      </w:r>
      <w:r>
        <w:rPr>
          <w:rFonts w:asciiTheme="majorHAnsi" w:hAnsiTheme="majorHAnsi"/>
        </w:rPr>
        <w:t>os clientes já estão</w:t>
      </w:r>
      <w:r>
        <w:rPr>
          <w:rFonts w:asciiTheme="majorHAnsi" w:hAnsiTheme="majorHAnsi"/>
        </w:rPr>
        <w:t xml:space="preserve"> cadastrados em uma base de dados </w:t>
      </w:r>
      <w:proofErr w:type="spellStart"/>
      <w:r>
        <w:rPr>
          <w:rFonts w:asciiTheme="majorHAnsi" w:hAnsiTheme="majorHAnsi"/>
        </w:rPr>
        <w:t>Mysql</w:t>
      </w:r>
      <w:proofErr w:type="spellEnd"/>
      <w:r>
        <w:rPr>
          <w:rFonts w:asciiTheme="majorHAnsi" w:hAnsiTheme="majorHAnsi"/>
        </w:rPr>
        <w:t xml:space="preserve"> e serão removidos perante a busca pelo nome do usuário, </w:t>
      </w:r>
      <w:r>
        <w:rPr>
          <w:rFonts w:asciiTheme="majorHAnsi" w:hAnsiTheme="majorHAnsi"/>
        </w:rPr>
        <w:t>conforme imagem ilustrativa acima.</w:t>
      </w:r>
      <w:r>
        <w:rPr>
          <w:rFonts w:asciiTheme="majorHAnsi" w:hAnsiTheme="majorHAnsi"/>
        </w:rPr>
        <w:tab/>
      </w: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ind w:left="720"/>
        <w:rPr>
          <w:rFonts w:asciiTheme="majorHAnsi" w:hAnsiTheme="majorHAnsi"/>
        </w:rPr>
      </w:pPr>
    </w:p>
    <w:p w:rsidR="00C164B0" w:rsidRDefault="00C164B0" w:rsidP="00C164B0">
      <w:pPr>
        <w:pStyle w:val="NormalWeb"/>
        <w:numPr>
          <w:ilvl w:val="0"/>
          <w:numId w:val="4"/>
        </w:numPr>
        <w:rPr>
          <w:rFonts w:asciiTheme="majorHAnsi" w:hAnsiTheme="majorHAnsi"/>
          <w:b/>
        </w:rPr>
      </w:pPr>
      <w:proofErr w:type="spellStart"/>
      <w:r>
        <w:rPr>
          <w:rFonts w:asciiTheme="majorHAnsi" w:hAnsiTheme="majorHAnsi"/>
          <w:b/>
        </w:rPr>
        <w:lastRenderedPageBreak/>
        <w:t>Area</w:t>
      </w:r>
      <w:proofErr w:type="spellEnd"/>
      <w:r>
        <w:rPr>
          <w:rFonts w:asciiTheme="majorHAnsi" w:hAnsiTheme="majorHAnsi"/>
          <w:b/>
        </w:rPr>
        <w:t xml:space="preserve"> de Cadastro de usuários.</w:t>
      </w:r>
    </w:p>
    <w:p w:rsidR="00C164B0" w:rsidRDefault="00C164B0" w:rsidP="00C164B0">
      <w:pPr>
        <w:pStyle w:val="NormalWeb"/>
        <w:ind w:left="1440"/>
        <w:rPr>
          <w:rFonts w:asciiTheme="majorHAnsi" w:hAnsiTheme="majorHAnsi"/>
          <w:b/>
        </w:rPr>
      </w:pPr>
      <w:r>
        <w:rPr>
          <w:noProof/>
        </w:rPr>
        <w:drawing>
          <wp:inline distT="0" distB="0" distL="0" distR="0" wp14:anchorId="64870BF2" wp14:editId="6A9DB5D5">
            <wp:extent cx="5286375" cy="58578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5857875"/>
                    </a:xfrm>
                    <a:prstGeom prst="rect">
                      <a:avLst/>
                    </a:prstGeom>
                  </pic:spPr>
                </pic:pic>
              </a:graphicData>
            </a:graphic>
          </wp:inline>
        </w:drawing>
      </w:r>
    </w:p>
    <w:p w:rsidR="00C164B0" w:rsidRPr="00C164B0" w:rsidRDefault="00C164B0" w:rsidP="00C164B0">
      <w:pPr>
        <w:pStyle w:val="NormalWeb"/>
        <w:ind w:left="1440"/>
        <w:rPr>
          <w:rFonts w:asciiTheme="majorHAnsi" w:hAnsiTheme="majorHAnsi"/>
        </w:rPr>
      </w:pPr>
      <w:r>
        <w:rPr>
          <w:rFonts w:asciiTheme="majorHAnsi" w:hAnsiTheme="majorHAnsi"/>
        </w:rPr>
        <w:t xml:space="preserve">Baseando-se no desenvolvimento acima foi codificado usando </w:t>
      </w:r>
      <w:proofErr w:type="spellStart"/>
      <w:r>
        <w:rPr>
          <w:rFonts w:asciiTheme="majorHAnsi" w:hAnsiTheme="majorHAnsi"/>
        </w:rPr>
        <w:t>netbeans</w:t>
      </w:r>
      <w:proofErr w:type="spellEnd"/>
      <w:r>
        <w:rPr>
          <w:rFonts w:asciiTheme="majorHAnsi" w:hAnsiTheme="majorHAnsi"/>
        </w:rPr>
        <w:t xml:space="preserve"> a seguinte interface, onde os </w:t>
      </w:r>
      <w:r>
        <w:rPr>
          <w:rFonts w:asciiTheme="majorHAnsi" w:hAnsiTheme="majorHAnsi"/>
        </w:rPr>
        <w:t>clientes</w:t>
      </w:r>
      <w:r>
        <w:rPr>
          <w:rFonts w:asciiTheme="majorHAnsi" w:hAnsiTheme="majorHAnsi"/>
        </w:rPr>
        <w:t xml:space="preserve"> </w:t>
      </w:r>
      <w:r>
        <w:rPr>
          <w:rFonts w:asciiTheme="majorHAnsi" w:hAnsiTheme="majorHAnsi"/>
        </w:rPr>
        <w:t>serão inseridos</w:t>
      </w:r>
      <w:r>
        <w:rPr>
          <w:rFonts w:asciiTheme="majorHAnsi" w:hAnsiTheme="majorHAnsi"/>
        </w:rPr>
        <w:t xml:space="preserve"> em uma base de dados </w:t>
      </w:r>
      <w:proofErr w:type="spellStart"/>
      <w:r>
        <w:rPr>
          <w:rFonts w:asciiTheme="majorHAnsi" w:hAnsiTheme="majorHAnsi"/>
        </w:rPr>
        <w:t>Mysql</w:t>
      </w:r>
      <w:proofErr w:type="spellEnd"/>
      <w:r>
        <w:rPr>
          <w:rFonts w:asciiTheme="majorHAnsi" w:hAnsiTheme="majorHAnsi"/>
        </w:rPr>
        <w:t>, co</w:t>
      </w:r>
      <w:r>
        <w:rPr>
          <w:rFonts w:asciiTheme="majorHAnsi" w:hAnsiTheme="majorHAnsi"/>
        </w:rPr>
        <w:t>nforme imagem ilustrativa acima.</w:t>
      </w:r>
      <w:bookmarkStart w:id="0" w:name="_GoBack"/>
      <w:bookmarkEnd w:id="0"/>
    </w:p>
    <w:p w:rsidR="00030AB7" w:rsidRPr="00297A14" w:rsidRDefault="00030AB7" w:rsidP="00232472">
      <w:pPr>
        <w:pStyle w:val="PargrafodaLista"/>
        <w:numPr>
          <w:ilvl w:val="0"/>
          <w:numId w:val="1"/>
        </w:numPr>
        <w:jc w:val="both"/>
        <w:rPr>
          <w:rFonts w:asciiTheme="majorHAnsi" w:hAnsiTheme="majorHAnsi"/>
          <w:b/>
          <w:sz w:val="36"/>
          <w:szCs w:val="36"/>
        </w:rPr>
      </w:pPr>
      <w:r w:rsidRPr="00297A14">
        <w:rPr>
          <w:rFonts w:asciiTheme="majorHAnsi" w:hAnsiTheme="majorHAnsi"/>
          <w:b/>
          <w:sz w:val="36"/>
          <w:szCs w:val="36"/>
        </w:rPr>
        <w:t>Conclusão</w:t>
      </w:r>
      <w:r w:rsidR="00B15F4E" w:rsidRPr="00297A14">
        <w:rPr>
          <w:rFonts w:asciiTheme="majorHAnsi" w:hAnsiTheme="majorHAnsi"/>
          <w:b/>
          <w:sz w:val="36"/>
          <w:szCs w:val="36"/>
        </w:rPr>
        <w:t>:</w:t>
      </w:r>
    </w:p>
    <w:p w:rsidR="00297A14" w:rsidRPr="00297A14" w:rsidRDefault="00297A14" w:rsidP="00297A14">
      <w:pPr>
        <w:pStyle w:val="PargrafodaLista"/>
        <w:ind w:left="1416"/>
        <w:jc w:val="both"/>
        <w:rPr>
          <w:rFonts w:asciiTheme="majorHAnsi" w:hAnsiTheme="majorHAnsi"/>
          <w:sz w:val="24"/>
          <w:szCs w:val="24"/>
        </w:rPr>
      </w:pPr>
      <w:r w:rsidRPr="00297A14">
        <w:rPr>
          <w:rFonts w:asciiTheme="majorHAnsi" w:hAnsiTheme="majorHAnsi"/>
          <w:sz w:val="24"/>
          <w:szCs w:val="24"/>
        </w:rPr>
        <w:t>O projeto tem como intuito recriar o sistema de nota fiscal paulista para fins acadêmicos e auxiliar no conhecimento, a fórmula de cálculo se</w:t>
      </w:r>
      <w:r>
        <w:rPr>
          <w:rFonts w:asciiTheme="majorHAnsi" w:hAnsiTheme="majorHAnsi"/>
          <w:sz w:val="24"/>
          <w:szCs w:val="24"/>
        </w:rPr>
        <w:t>rá</w:t>
      </w:r>
      <w:r w:rsidRPr="00297A14">
        <w:rPr>
          <w:rFonts w:asciiTheme="majorHAnsi" w:hAnsiTheme="majorHAnsi"/>
          <w:sz w:val="24"/>
          <w:szCs w:val="24"/>
        </w:rPr>
        <w:t xml:space="preserve"> baseada na fórmula acima</w:t>
      </w:r>
      <w:r>
        <w:rPr>
          <w:rFonts w:asciiTheme="majorHAnsi" w:hAnsiTheme="majorHAnsi"/>
          <w:sz w:val="24"/>
          <w:szCs w:val="24"/>
        </w:rPr>
        <w:t xml:space="preserve"> de forma simplificada e o sistema visa a melhoria e o resgate dos impostos sobre os produtos em pequena parcela a todos os consumidores do estado.</w:t>
      </w:r>
      <w:r w:rsidRPr="00297A14">
        <w:rPr>
          <w:rFonts w:asciiTheme="majorHAnsi" w:hAnsiTheme="majorHAnsi"/>
          <w:sz w:val="24"/>
          <w:szCs w:val="24"/>
        </w:rPr>
        <w:t xml:space="preserve"> </w:t>
      </w:r>
    </w:p>
    <w:sectPr w:rsidR="00297A14" w:rsidRPr="00297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625DD"/>
    <w:multiLevelType w:val="multilevel"/>
    <w:tmpl w:val="454E377E"/>
    <w:lvl w:ilvl="0">
      <w:start w:val="1"/>
      <w:numFmt w:val="decimal"/>
      <w:lvlText w:val="%1."/>
      <w:lvlJc w:val="left"/>
      <w:pPr>
        <w:tabs>
          <w:tab w:val="num" w:pos="1428"/>
        </w:tabs>
        <w:ind w:left="1428" w:hanging="360"/>
      </w:pPr>
      <w:rPr>
        <w:b w:val="0"/>
        <w:sz w:val="24"/>
        <w:szCs w:val="24"/>
      </w:rPr>
    </w:lvl>
    <w:lvl w:ilvl="1">
      <w:start w:val="1"/>
      <w:numFmt w:val="upperRoman"/>
      <w:lvlText w:val="%2-"/>
      <w:lvlJc w:val="left"/>
      <w:pPr>
        <w:ind w:left="2508" w:hanging="720"/>
      </w:pPr>
      <w:rPr>
        <w:rFonts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
    <w:nsid w:val="144310A2"/>
    <w:multiLevelType w:val="hybridMultilevel"/>
    <w:tmpl w:val="762E4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4B16C0"/>
    <w:multiLevelType w:val="multilevel"/>
    <w:tmpl w:val="691A950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8052A"/>
    <w:multiLevelType w:val="hybridMultilevel"/>
    <w:tmpl w:val="5F26C54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4C703996"/>
    <w:multiLevelType w:val="hybridMultilevel"/>
    <w:tmpl w:val="F48A14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B7"/>
    <w:rsid w:val="00007A14"/>
    <w:rsid w:val="00030AB7"/>
    <w:rsid w:val="00232472"/>
    <w:rsid w:val="00283A16"/>
    <w:rsid w:val="00297A14"/>
    <w:rsid w:val="00395908"/>
    <w:rsid w:val="008016A8"/>
    <w:rsid w:val="008B23FE"/>
    <w:rsid w:val="00B0060B"/>
    <w:rsid w:val="00B15F4E"/>
    <w:rsid w:val="00B45057"/>
    <w:rsid w:val="00C164B0"/>
    <w:rsid w:val="00DB40AA"/>
    <w:rsid w:val="00E95F0B"/>
    <w:rsid w:val="00F43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21D4D-BDEC-43C7-BCF7-558D25CA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0AB7"/>
    <w:pPr>
      <w:ind w:left="720"/>
      <w:contextualSpacing/>
    </w:pPr>
  </w:style>
  <w:style w:type="paragraph" w:styleId="NormalWeb">
    <w:name w:val="Normal (Web)"/>
    <w:basedOn w:val="Normal"/>
    <w:uiPriority w:val="99"/>
    <w:unhideWhenUsed/>
    <w:rsid w:val="002324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32472"/>
    <w:rPr>
      <w:b/>
      <w:bCs/>
    </w:rPr>
  </w:style>
  <w:style w:type="character" w:styleId="nfase">
    <w:name w:val="Emphasis"/>
    <w:basedOn w:val="Fontepargpadro"/>
    <w:uiPriority w:val="20"/>
    <w:qFormat/>
    <w:rsid w:val="00232472"/>
    <w:rPr>
      <w:i/>
      <w:iCs/>
    </w:rPr>
  </w:style>
  <w:style w:type="character" w:styleId="Hyperlink">
    <w:name w:val="Hyperlink"/>
    <w:basedOn w:val="Fontepargpadro"/>
    <w:uiPriority w:val="99"/>
    <w:semiHidden/>
    <w:unhideWhenUsed/>
    <w:rsid w:val="002324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7208">
      <w:bodyDiv w:val="1"/>
      <w:marLeft w:val="0"/>
      <w:marRight w:val="0"/>
      <w:marTop w:val="0"/>
      <w:marBottom w:val="0"/>
      <w:divBdr>
        <w:top w:val="none" w:sz="0" w:space="0" w:color="auto"/>
        <w:left w:val="none" w:sz="0" w:space="0" w:color="auto"/>
        <w:bottom w:val="none" w:sz="0" w:space="0" w:color="auto"/>
        <w:right w:val="none" w:sz="0" w:space="0" w:color="auto"/>
      </w:divBdr>
    </w:div>
    <w:div w:id="875850799">
      <w:bodyDiv w:val="1"/>
      <w:marLeft w:val="0"/>
      <w:marRight w:val="0"/>
      <w:marTop w:val="0"/>
      <w:marBottom w:val="0"/>
      <w:divBdr>
        <w:top w:val="none" w:sz="0" w:space="0" w:color="auto"/>
        <w:left w:val="none" w:sz="0" w:space="0" w:color="auto"/>
        <w:bottom w:val="none" w:sz="0" w:space="0" w:color="auto"/>
        <w:right w:val="none" w:sz="0" w:space="0" w:color="auto"/>
      </w:divBdr>
    </w:div>
    <w:div w:id="1141771820">
      <w:bodyDiv w:val="1"/>
      <w:marLeft w:val="0"/>
      <w:marRight w:val="0"/>
      <w:marTop w:val="0"/>
      <w:marBottom w:val="0"/>
      <w:divBdr>
        <w:top w:val="none" w:sz="0" w:space="0" w:color="auto"/>
        <w:left w:val="none" w:sz="0" w:space="0" w:color="auto"/>
        <w:bottom w:val="none" w:sz="0" w:space="0" w:color="auto"/>
        <w:right w:val="none" w:sz="0" w:space="0" w:color="auto"/>
      </w:divBdr>
    </w:div>
    <w:div w:id="1276056429">
      <w:bodyDiv w:val="1"/>
      <w:marLeft w:val="0"/>
      <w:marRight w:val="0"/>
      <w:marTop w:val="0"/>
      <w:marBottom w:val="0"/>
      <w:divBdr>
        <w:top w:val="none" w:sz="0" w:space="0" w:color="auto"/>
        <w:left w:val="none" w:sz="0" w:space="0" w:color="auto"/>
        <w:bottom w:val="none" w:sz="0" w:space="0" w:color="auto"/>
        <w:right w:val="none" w:sz="0" w:space="0" w:color="auto"/>
      </w:divBdr>
    </w:div>
    <w:div w:id="165086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637</Words>
  <Characters>3441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Emanuel Grillo</dc:creator>
  <cp:keywords/>
  <dc:description/>
  <cp:lastModifiedBy>Vitor Emanuel Grillo</cp:lastModifiedBy>
  <cp:revision>4</cp:revision>
  <dcterms:created xsi:type="dcterms:W3CDTF">2014-11-19T12:56:00Z</dcterms:created>
  <dcterms:modified xsi:type="dcterms:W3CDTF">2014-12-05T22:25:00Z</dcterms:modified>
</cp:coreProperties>
</file>