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Disciplina: Redes de Computadores e Sistemas Distribuídos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0" w:firstLine="566.9291338582677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plataforma distribuída proposta para integrar pesquisa clínica e manufatura farmacêutica depende fortemente de uma infraestrutura de rede estável, resiliente e preparada para lidar tanto com dados em tempo real quanto com requisitos rígidos de auditoria. Por isso, o desenho da arquitetura de rede foi pensado para garantir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baixa latência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isolamento de tráfego sensível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segurança regulatória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continuidade operacional mesmo diante de falhas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b46k8c5zret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Topologia da Rede e Arquitetura Distribuída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Será desenvolvido um protótipo de infraestrutura lógica baseado em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topologia hierárquica</w:t>
      </w:r>
      <w:r w:rsidDel="00000000" w:rsidR="00000000" w:rsidRPr="00000000">
        <w:rPr>
          <w:sz w:val="24"/>
          <w:szCs w:val="24"/>
          <w:rtl w:val="0"/>
        </w:rPr>
        <w:t xml:space="preserve">, modelo amplamente utilizado em ambientes corporativos e industriais por oferecer organização clara dos fluxos, facilidade de escalabilidade e controle eficiente de tráfego.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topologia é formada por três camadas principais: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Núcleo (Core):</w:t>
      </w:r>
      <w:r w:rsidDel="00000000" w:rsidR="00000000" w:rsidRPr="00000000">
        <w:rPr>
          <w:sz w:val="24"/>
          <w:szCs w:val="24"/>
          <w:rtl w:val="0"/>
        </w:rPr>
        <w:t xml:space="preserve"> responsável pelo roteamento de alto desempenho e pela interligação entre todos os módulos críticos da plataforma, como o sistema de pesquisa clínica, o ambiente de manufatura e os bancos de dados distribuídos.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Distribuição:</w:t>
      </w:r>
      <w:r w:rsidDel="00000000" w:rsidR="00000000" w:rsidRPr="00000000">
        <w:rPr>
          <w:sz w:val="24"/>
          <w:szCs w:val="24"/>
          <w:rtl w:val="0"/>
        </w:rPr>
        <w:t xml:space="preserve"> camada intermediária que aplica políticas de segurança, controle de QoS e redireciona o tráfego de forma otimizada.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Acesso:</w:t>
      </w:r>
      <w:r w:rsidDel="00000000" w:rsidR="00000000" w:rsidRPr="00000000">
        <w:rPr>
          <w:sz w:val="24"/>
          <w:szCs w:val="24"/>
          <w:rtl w:val="0"/>
        </w:rPr>
        <w:t xml:space="preserve"> onde ficam os dispositivos finais, como sensores laboratoriais, estações de análise, máquinas da linha de produção e servidores locais.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modelo garante que os dados sensíveis, como informações clínicas ou registros industriais auditáveis trafeguem de maneira organizada, mantendo performance e segurança mesmo em cenários de carga elevada.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qzehybnhb3d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Segmentação e Segurança: Uso de VLANs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isolamento adequado entre os diferentes fluxos de informação, a rede será dividida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VLANs (Virtual Local Area Networks)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segmentação é essencial em ambientes farmacêuticos, pois: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</w:t>
      </w:r>
      <w:r w:rsidDel="00000000" w:rsidR="00000000" w:rsidRPr="00000000">
        <w:rPr>
          <w:sz w:val="24"/>
          <w:szCs w:val="24"/>
          <w:rtl w:val="0"/>
        </w:rPr>
        <w:t xml:space="preserve"> dados clínicos de informações de manufatura;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 tráfego administrativo, de pesquisa, de IA e dos sensores fabris;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 a superfície de ataque e facilita auditorias de conformidade (como FDA 21 CFR Part 11);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 congestionamento, melhorando o desempenho da plataforma como um todo.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VLAN terá políticas próprias de QoS e níveis de prioridade diferentes. Por exemplo, os pacotes que carregam sinais de sensores laboratoriais, que exigem latência mínima, serão priorizados em relação a fluxos menos críticos.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gb1v9j0mo7l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Roteamento Redundante com OSPF e BGP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 plataforma precisa funcionar mesmo quando partes da infraestrutura falham, o projeto incluirá a configuração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protocolos de roteamento redundantes</w:t>
      </w:r>
      <w:r w:rsidDel="00000000" w:rsidR="00000000" w:rsidRPr="00000000">
        <w:rPr>
          <w:sz w:val="24"/>
          <w:szCs w:val="24"/>
          <w:rtl w:val="0"/>
        </w:rPr>
        <w:t xml:space="preserve">,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OSPF (Open Shortest Path First)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BGP (Border Gateway Protocol)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</w:t>
      </w:r>
      <w:r w:rsidDel="00000000" w:rsidR="00000000" w:rsidRPr="00000000">
        <w:rPr>
          <w:sz w:val="24"/>
          <w:szCs w:val="24"/>
          <w:rtl w:val="0"/>
        </w:rPr>
        <w:t xml:space="preserve"> protocolos permitem que a rede: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Descubra automaticamente caminhos alternativos;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recupere rapidamente em casos de quebra de links ou falhas de switches/roteadores;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Mantenha a comunicação entre os módulos da plataforma sem interrupção.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prática, isso significa que, mesmo com uma pane parcial (por exemplo, uma queda de um link entre a área clínica e o ambiente fabril), os dados continuarão fluindo por rotas alternativas, preservando a continuidade das análises e dos processos.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yibfpyzuqdh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Rede Definida por Software (SDN) com OpenDaylight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centralizar e flexibilizar o controle da rede, o protótipo utilizará uma solução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SDN (Software Defined Networking)</w:t>
      </w:r>
      <w:r w:rsidDel="00000000" w:rsidR="00000000" w:rsidRPr="00000000">
        <w:rPr>
          <w:sz w:val="24"/>
          <w:szCs w:val="24"/>
          <w:rtl w:val="0"/>
        </w:rPr>
        <w:t xml:space="preserve">, aplicada por meio de um controlador como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OpenDaylight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abordagem separa o plano de controle do plano de dados, permitindo: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políticas de segurança;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Responder rapidamente a mudanças no tráfego ou em cenários de falha;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regras dinâmicas de QoS para fluxos críticos;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Monitorar performance em tempo real.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SDN é especialmente útil em ambientes regulados, pois permite registrar e auditar todas as decisões de roteamento, facilitando a conformidade com GLP, GCP e GMP.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bt4ac6sjbsq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Tolerância a Falhas e Continuidade Operacional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da arquitetura distribuída proposta é garantir que a plataforma continue funcionando mesmo diante de falhas parciais.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validar isso, o protótipo será avaliado com base em métricas como: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Latência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tempo que os dados levam para atravessar a rede;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Throughput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volume de dados transmitidos em determinado período;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percentual de tempo em que a plataforma fica acessível.</w:t>
        <w:br w:type="textWrapping"/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os testes, serão simulados cenários de pane, como desligamento de switches ou saturação de links, para demonstrar como a topologia hierárquica, o roteamento redundante e as políticas do SDN conseguem manter a operação sem interrupções perceptíveis.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1n7b3b8jata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Integração com a Plataforma e o Ecossistema Digital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0"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rede distribuída criada não funciona isoladamente, ela é parte essencial do ecossistema digital que integra pesquisa clínica, manufatura e modelos de Inteligência Artificial explicáveis.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meio dessa infraestrutura: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Sensores laboratoriais enviam dados em tempo real para os módulos de análise;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algoritmos de IA recebem informações atualizadas com baixa latência;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dados críticos trafegam de forma isolada e compatível com auditorias regulatórias;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Equipes de pesquisa e manufatura têm acesso contínuo às informações, garantindo velocidade e precisão na tomada de decisões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Bibliografia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CISCO.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Enterprise Campus Design.</w:t>
      </w:r>
      <w:r w:rsidDel="00000000" w:rsidR="00000000" w:rsidRPr="00000000">
        <w:rPr>
          <w:sz w:val="24"/>
          <w:szCs w:val="24"/>
          <w:rtl w:val="0"/>
        </w:rPr>
        <w:t xml:space="preserve"> Disponível em: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https://www.cisco.com/c/en/us/td/docs/solutions/Enterprise/Campus/campover.html</w:t>
        </w:r>
      </w:hyperlink>
      <w:r w:rsidDel="00000000" w:rsidR="00000000" w:rsidRPr="00000000">
        <w:rPr>
          <w:sz w:val="24"/>
          <w:szCs w:val="24"/>
          <w:rtl w:val="0"/>
        </w:rPr>
        <w:t xml:space="preserve"> - Acesso: Novembro de 2025 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MOY, J. T.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OSPF Version 2.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RFC 2328</w:t>
      </w:r>
      <w:r w:rsidDel="00000000" w:rsidR="00000000" w:rsidRPr="00000000">
        <w:rPr>
          <w:sz w:val="24"/>
          <w:szCs w:val="24"/>
          <w:rtl w:val="0"/>
        </w:rPr>
        <w:t xml:space="preserve">, 1998. Disponível em: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https://www.rfc-editor.org/info/rfc2328</w:t>
        </w:r>
      </w:hyperlink>
      <w:r w:rsidDel="00000000" w:rsidR="00000000" w:rsidRPr="00000000">
        <w:rPr>
          <w:sz w:val="24"/>
          <w:szCs w:val="24"/>
          <w:rtl w:val="0"/>
        </w:rPr>
        <w:t xml:space="preserve"> - Acesso: Novembro de 2025.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REKHTER, Y. et 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Border Gateway Protocol 4 (BGP-4).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RFC 4271</w:t>
      </w:r>
      <w:r w:rsidDel="00000000" w:rsidR="00000000" w:rsidRPr="00000000">
        <w:rPr>
          <w:sz w:val="24"/>
          <w:szCs w:val="24"/>
          <w:rtl w:val="0"/>
        </w:rPr>
        <w:t xml:space="preserve">, 2006. Disponível em: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https://www.rfc-editor.org/info/rfc4271</w:t>
        </w:r>
      </w:hyperlink>
      <w:r w:rsidDel="00000000" w:rsidR="00000000" w:rsidRPr="00000000">
        <w:rPr>
          <w:sz w:val="24"/>
          <w:szCs w:val="24"/>
          <w:rtl w:val="0"/>
        </w:rPr>
        <w:t xml:space="preserve"> - Acesso: Novembro de 2025.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AND DRUG ADMINISTRATION (FDA).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11 Electronic Records; Electronic Signatures — Scope and Application.</w:t>
      </w:r>
      <w:r w:rsidDel="00000000" w:rsidR="00000000" w:rsidRPr="00000000">
        <w:rPr>
          <w:sz w:val="24"/>
          <w:szCs w:val="24"/>
          <w:rtl w:val="0"/>
        </w:rPr>
        <w:t xml:space="preserve"> 21 CFR Part 11. Disponível em: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https://www.fda.gov/regulatory-information/search-fda-guidance-documents/part-11-electronic-records-electronic-signatures-scope-and-application</w:t>
        </w:r>
      </w:hyperlink>
      <w:r w:rsidDel="00000000" w:rsidR="00000000" w:rsidRPr="00000000">
        <w:rPr>
          <w:sz w:val="24"/>
          <w:szCs w:val="24"/>
          <w:rtl w:val="0"/>
        </w:rPr>
        <w:t xml:space="preserve"> - Acesso: Novembro de 2025.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OpenDaylight – Documentação Oficial. Disponível em: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https://www.opendaylight.org/about</w:t>
        </w:r>
      </w:hyperlink>
      <w:r w:rsidDel="00000000" w:rsidR="00000000" w:rsidRPr="00000000">
        <w:rPr>
          <w:sz w:val="24"/>
          <w:szCs w:val="24"/>
          <w:rtl w:val="0"/>
        </w:rPr>
        <w:t xml:space="preserve"> - Acesso: Novembro de 2025.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opendaylight.org/about" TargetMode="External"/><Relationship Id="rId9" Type="http://schemas.openxmlformats.org/officeDocument/2006/relationships/hyperlink" Target="https://www.fda.gov/regulatory-information/search-fda-guidance-documents/part-11-electronic-records-electronic-signatures-scope-and-applic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isco.com/c/en/us/td/docs/solutions/Enterprise/Campus/campover.html" TargetMode="External"/><Relationship Id="rId7" Type="http://schemas.openxmlformats.org/officeDocument/2006/relationships/hyperlink" Target="https://www.rfc-editor.org/info/rfc2328" TargetMode="External"/><Relationship Id="rId8" Type="http://schemas.openxmlformats.org/officeDocument/2006/relationships/hyperlink" Target="https://www.rfc-editor.org/info/rfc42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