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A66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627A4E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627A4E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2F7004" w:rsidRPr="005B612A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627A4E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627A4E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627A4E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885F9B">
        <w:rPr>
          <w:lang w:val="pt-PT"/>
        </w:rPr>
        <w:t xml:space="preserve">egou-se à conclusão que existe apenas um </w:t>
      </w:r>
      <w:r w:rsidRPr="00BB14C5">
        <w:rPr>
          <w:lang w:val="pt-PT"/>
        </w:rPr>
        <w:t>atributos da</w:t>
      </w:r>
      <w:r>
        <w:rPr>
          <w:lang w:val="pt-PT"/>
        </w:rPr>
        <w:t xml:space="preserve"> </w:t>
      </w:r>
      <w:r w:rsidRPr="00BB14C5">
        <w:rPr>
          <w:lang w:val="pt-PT"/>
        </w:rPr>
        <w:t xml:space="preserve">entidade </w:t>
      </w:r>
      <w:r w:rsidR="00885F9B">
        <w:rPr>
          <w:lang w:val="pt-PT"/>
        </w:rPr>
        <w:t>Trabalho</w:t>
      </w:r>
      <w:r w:rsidRPr="00BB14C5">
        <w:rPr>
          <w:lang w:val="pt-PT"/>
        </w:rPr>
        <w:t xml:space="preserve"> com a definição de atributo composto:</w:t>
      </w:r>
      <w:r w:rsidR="00885F9B">
        <w:rPr>
          <w:lang w:val="pt-PT"/>
        </w:rPr>
        <w:t xml:space="preserve"> Morada</w:t>
      </w:r>
      <w:r w:rsidRPr="00BB14C5">
        <w:rPr>
          <w:lang w:val="pt-PT"/>
        </w:rPr>
        <w:t>.</w:t>
      </w:r>
      <w:r w:rsidR="002710A2">
        <w:rPr>
          <w:lang w:val="pt-PT"/>
        </w:rPr>
        <w:t xml:space="preserve"> </w:t>
      </w:r>
      <w:r w:rsidR="00885F9B">
        <w:rPr>
          <w:lang w:val="pt-PT"/>
        </w:rPr>
        <w:t>Esta morada vai ser composta pelos atributos Rua e Localidade. Esta composição, permitirá um maior controlo das localidades onde o serviço terá mais adesão.</w:t>
      </w:r>
    </w:p>
    <w:p w:rsidR="00885F9B" w:rsidRDefault="00885F9B" w:rsidP="002710A2">
      <w:pPr>
        <w:ind w:firstLine="720"/>
        <w:rPr>
          <w:lang w:val="pt-PT"/>
        </w:rPr>
      </w:pPr>
      <w:r>
        <w:rPr>
          <w:lang w:val="pt-PT"/>
        </w:rPr>
        <w:t>Os restantes atributos serão simples.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92"/>
        <w:gridCol w:w="1064"/>
        <w:gridCol w:w="1484"/>
        <w:gridCol w:w="1116"/>
        <w:gridCol w:w="625"/>
        <w:gridCol w:w="1085"/>
        <w:gridCol w:w="1003"/>
        <w:gridCol w:w="1125"/>
      </w:tblGrid>
      <w:tr w:rsidR="00EA3143" w:rsidTr="000D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081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158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180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654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114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1059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0D1480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</w:tcPr>
          <w:p w:rsidR="000D1480" w:rsidRDefault="000D1480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061" w:type="dxa"/>
          </w:tcPr>
          <w:p w:rsidR="000D1480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o username, </w:t>
            </w:r>
            <w:r>
              <w:rPr>
                <w:lang w:val="pt-PT"/>
              </w:rPr>
              <w:lastRenderedPageBreak/>
              <w:t>que o identifica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Caracteres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158" w:type="dxa"/>
          </w:tcPr>
          <w:p w:rsidR="000D1480" w:rsidRDefault="000D1480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EA3143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885F9B" w:rsidRDefault="000D1480" w:rsidP="00885F9B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081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158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180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EA3143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EA3143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158" w:type="dxa"/>
          </w:tcPr>
          <w:p w:rsidR="000D1480" w:rsidRDefault="00EA3143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bookmarkStart w:id="12" w:name="_GoBack"/>
            <w:bookmarkEnd w:id="12"/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lastRenderedPageBreak/>
        <w:t>Determinar domínio dos atributos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46" w:rsidRDefault="003A6646">
      <w:r>
        <w:separator/>
      </w:r>
    </w:p>
  </w:endnote>
  <w:endnote w:type="continuationSeparator" w:id="0">
    <w:p w:rsidR="003A6646" w:rsidRDefault="003A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143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2DC">
      <w:rPr>
        <w:rStyle w:val="PageNumber"/>
        <w:noProof/>
      </w:rPr>
      <w:t>20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46" w:rsidRDefault="003A6646">
      <w:r>
        <w:separator/>
      </w:r>
    </w:p>
  </w:footnote>
  <w:footnote w:type="continuationSeparator" w:id="0">
    <w:p w:rsidR="003A6646" w:rsidRDefault="003A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E6F37"/>
    <w:rsid w:val="00111C34"/>
    <w:rsid w:val="001373C5"/>
    <w:rsid w:val="00193761"/>
    <w:rsid w:val="00195FD3"/>
    <w:rsid w:val="001A4F51"/>
    <w:rsid w:val="001E05B9"/>
    <w:rsid w:val="001F63E2"/>
    <w:rsid w:val="00230B20"/>
    <w:rsid w:val="002316BF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24E24"/>
    <w:rsid w:val="00335658"/>
    <w:rsid w:val="003408BE"/>
    <w:rsid w:val="00351562"/>
    <w:rsid w:val="00353919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85F9B"/>
    <w:rsid w:val="008B6AF0"/>
    <w:rsid w:val="008D743F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92D47"/>
    <w:rsid w:val="00CF04CA"/>
    <w:rsid w:val="00D02EA7"/>
    <w:rsid w:val="00D07AC5"/>
    <w:rsid w:val="00D429F0"/>
    <w:rsid w:val="00D5328C"/>
    <w:rsid w:val="00D73BED"/>
    <w:rsid w:val="00D7647B"/>
    <w:rsid w:val="00DD69A3"/>
    <w:rsid w:val="00E03C3F"/>
    <w:rsid w:val="00E07338"/>
    <w:rsid w:val="00EA3143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2B27BFD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6788-A9E1-48A4-B8BD-BC902B5C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26</Pages>
  <Words>3728</Words>
  <Characters>20136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23817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20</cp:revision>
  <cp:lastPrinted>2018-03-05T16:44:00Z</cp:lastPrinted>
  <dcterms:created xsi:type="dcterms:W3CDTF">2018-03-14T09:40:00Z</dcterms:created>
  <dcterms:modified xsi:type="dcterms:W3CDTF">2018-04-10T16:58:00Z</dcterms:modified>
</cp:coreProperties>
</file>