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77EE8" w14:textId="77777777" w:rsidR="005811C3" w:rsidRPr="00EE75CA" w:rsidRDefault="005811C3" w:rsidP="005811C3">
      <w:pPr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</w:pPr>
      <w:r w:rsidRPr="00EE75CA">
        <w:rPr>
          <w:rFonts w:ascii="Arial" w:eastAsia="Times New Roman" w:hAnsi="Arial" w:cs="Arial"/>
          <w:b/>
          <w:bCs/>
          <w:color w:val="123654"/>
          <w:sz w:val="27"/>
          <w:szCs w:val="27"/>
          <w:lang w:val="en-US" w:eastAsia="pt-BR"/>
        </w:rPr>
        <w:t>Attribute Information:</w:t>
      </w:r>
    </w:p>
    <w:p w14:paraId="072C52F7" w14:textId="77777777" w:rsidR="005811C3" w:rsidRPr="005811C3" w:rsidRDefault="005811C3" w:rsidP="005811C3">
      <w:pPr>
        <w:rPr>
          <w:lang w:val="en-US"/>
        </w:rPr>
      </w:pPr>
    </w:p>
    <w:p w14:paraId="4A77888D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1. Individual identification (ID)</w:t>
      </w:r>
    </w:p>
    <w:p w14:paraId="66BE534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2. Reason for absence (ICD).</w:t>
      </w:r>
    </w:p>
    <w:p w14:paraId="2E8CA9C6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Absences attested by the International Code of Diseases (ICD) stratified into 21 categories (I to XXI) as follows:</w:t>
      </w:r>
    </w:p>
    <w:p w14:paraId="6559DD81" w14:textId="77777777" w:rsidR="005811C3" w:rsidRPr="005811C3" w:rsidRDefault="005811C3" w:rsidP="005811C3">
      <w:pPr>
        <w:spacing w:after="0"/>
        <w:rPr>
          <w:lang w:val="en-US"/>
        </w:rPr>
      </w:pPr>
    </w:p>
    <w:p w14:paraId="43939021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 Certain infectious and parasitic diseases  </w:t>
      </w:r>
    </w:p>
    <w:p w14:paraId="0F0D1BE8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II Neoplasms  </w:t>
      </w:r>
    </w:p>
    <w:p w14:paraId="04F4459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III Diseases of the blood and blood-forming organs and certain disorders involving the immune mechanism  </w:t>
      </w:r>
    </w:p>
    <w:p w14:paraId="2A1D5438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IV Endocrine, nutritional and metabolic diseases  </w:t>
      </w:r>
    </w:p>
    <w:p w14:paraId="4234B6F2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 Mental and </w:t>
      </w:r>
      <w:proofErr w:type="spellStart"/>
      <w:r w:rsidRPr="005811C3">
        <w:rPr>
          <w:lang w:val="en-US"/>
        </w:rPr>
        <w:t>behavioural</w:t>
      </w:r>
      <w:proofErr w:type="spellEnd"/>
      <w:r w:rsidRPr="005811C3">
        <w:rPr>
          <w:lang w:val="en-US"/>
        </w:rPr>
        <w:t xml:space="preserve"> disorders  </w:t>
      </w:r>
    </w:p>
    <w:p w14:paraId="7B5B2A2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 Diseases of the nervous system  </w:t>
      </w:r>
    </w:p>
    <w:p w14:paraId="736CAB2D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VII Diseases of the eye and adnexa  </w:t>
      </w:r>
    </w:p>
    <w:p w14:paraId="2AEFC02E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VIII Diseases of the ear and mastoid process  </w:t>
      </w:r>
    </w:p>
    <w:p w14:paraId="4AAC6EAA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IX Diseases of the circulatory system  </w:t>
      </w:r>
    </w:p>
    <w:p w14:paraId="541E545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 Diseases of the respiratory system  </w:t>
      </w:r>
    </w:p>
    <w:p w14:paraId="2A9551C3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 Diseases of the digestive system  </w:t>
      </w:r>
    </w:p>
    <w:p w14:paraId="3D6E715E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XII Diseases of the skin and subcutaneous tissue  </w:t>
      </w:r>
    </w:p>
    <w:p w14:paraId="51000095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XIII Diseases of the musculoskeletal system and connective tissue  </w:t>
      </w:r>
    </w:p>
    <w:p w14:paraId="08234161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XIV Diseases of the genitourinary system  </w:t>
      </w:r>
    </w:p>
    <w:p w14:paraId="4B8FD345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 Pregnancy, childbirth and the puerperium  </w:t>
      </w:r>
    </w:p>
    <w:p w14:paraId="67A8DE46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 Certain conditions originating in the perinatal period  </w:t>
      </w:r>
    </w:p>
    <w:p w14:paraId="546405F6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XVII Congenital malformations, deformations and chromosomal abnormalities  </w:t>
      </w:r>
    </w:p>
    <w:p w14:paraId="1C4582BD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XVIII Symptoms, signs and abnormal clinical and laboratory findings, not elsewhere classified  </w:t>
      </w:r>
    </w:p>
    <w:p w14:paraId="31B5545E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XIX Injury, poisoning and certain other consequences of external causes  </w:t>
      </w:r>
    </w:p>
    <w:p w14:paraId="14726D79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XX External causes of morbidity and mortality  </w:t>
      </w:r>
    </w:p>
    <w:p w14:paraId="04DE6DD6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XXI Factors influencing health status and contact with health services.</w:t>
      </w:r>
    </w:p>
    <w:p w14:paraId="64286B07" w14:textId="77777777" w:rsidR="005811C3" w:rsidRPr="005811C3" w:rsidRDefault="005811C3" w:rsidP="005811C3">
      <w:pPr>
        <w:spacing w:after="0"/>
        <w:rPr>
          <w:lang w:val="en-US"/>
        </w:rPr>
      </w:pPr>
    </w:p>
    <w:p w14:paraId="7D9EE5E6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And 7 categories without (CID) patient follow-up (22), medical consultation (23), blood donation (24), laboratory examination (25), unjustified absence (26), physiotherapy (27), dental consultation (28).</w:t>
      </w:r>
    </w:p>
    <w:p w14:paraId="53E69A25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3. Month of absence</w:t>
      </w:r>
    </w:p>
    <w:p w14:paraId="50B4655E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4. Day of the week (Monday (2), Tuesday (3), Wednesday (4), Thursday (5), Friday (6))</w:t>
      </w:r>
    </w:p>
    <w:p w14:paraId="33A19E84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5. Seasons</w:t>
      </w:r>
    </w:p>
    <w:p w14:paraId="5A4AFFD9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6. Transportation expense</w:t>
      </w:r>
    </w:p>
    <w:p w14:paraId="0A461621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7. Distance from Residence to Work (kilometers)</w:t>
      </w:r>
      <w:bookmarkStart w:id="0" w:name="_GoBack"/>
      <w:bookmarkEnd w:id="0"/>
    </w:p>
    <w:p w14:paraId="3DCBB1DA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8. Service time</w:t>
      </w:r>
    </w:p>
    <w:p w14:paraId="4A72C512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9. Age</w:t>
      </w:r>
    </w:p>
    <w:p w14:paraId="2FFF2B51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10. Work load Average/day </w:t>
      </w:r>
    </w:p>
    <w:p w14:paraId="6B2D8BDA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11. Hit target</w:t>
      </w:r>
    </w:p>
    <w:p w14:paraId="4D5B2AB2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12. Disciplinary failure (yes=1; no=0)</w:t>
      </w:r>
    </w:p>
    <w:p w14:paraId="3D81DC49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13. Education (high school (1), graduate (2), postgraduate (3), master and doctor (4))</w:t>
      </w:r>
    </w:p>
    <w:p w14:paraId="39ECAC65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14. Son (number of children)</w:t>
      </w:r>
    </w:p>
    <w:p w14:paraId="479E6A4B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15. </w:t>
      </w:r>
      <w:r w:rsidR="00EE75CA">
        <w:rPr>
          <w:lang w:val="en-US"/>
        </w:rPr>
        <w:t>Social d</w:t>
      </w:r>
      <w:r w:rsidRPr="005811C3">
        <w:rPr>
          <w:lang w:val="en-US"/>
        </w:rPr>
        <w:t>rinker (yes=1; no=0)</w:t>
      </w:r>
    </w:p>
    <w:p w14:paraId="2360A3A7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16. </w:t>
      </w:r>
      <w:r w:rsidR="00EE75CA">
        <w:rPr>
          <w:lang w:val="en-US"/>
        </w:rPr>
        <w:t>Social s</w:t>
      </w:r>
      <w:r w:rsidRPr="005811C3">
        <w:rPr>
          <w:lang w:val="en-US"/>
        </w:rPr>
        <w:t>moker (yes=1; no=0)</w:t>
      </w:r>
    </w:p>
    <w:p w14:paraId="4D73006E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lastRenderedPageBreak/>
        <w:t>17. Pet (number of pet)</w:t>
      </w:r>
    </w:p>
    <w:p w14:paraId="4FE44FBB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18. Weight</w:t>
      </w:r>
    </w:p>
    <w:p w14:paraId="04D395A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19. Height</w:t>
      </w:r>
    </w:p>
    <w:p w14:paraId="441FC2B0" w14:textId="77777777" w:rsidR="005811C3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>20. Body mass index</w:t>
      </w:r>
    </w:p>
    <w:p w14:paraId="3E4FE532" w14:textId="6096517B" w:rsidR="004D6F0B" w:rsidRPr="005811C3" w:rsidRDefault="005811C3" w:rsidP="005811C3">
      <w:pPr>
        <w:spacing w:after="0"/>
        <w:rPr>
          <w:lang w:val="en-US"/>
        </w:rPr>
      </w:pPr>
      <w:r w:rsidRPr="005811C3">
        <w:rPr>
          <w:lang w:val="en-US"/>
        </w:rPr>
        <w:t xml:space="preserve">21. Absenteeism </w:t>
      </w:r>
      <w:r w:rsidR="00E54A89" w:rsidRPr="005811C3">
        <w:rPr>
          <w:lang w:val="en-US"/>
        </w:rPr>
        <w:t>(yes=1; no=0)</w:t>
      </w:r>
    </w:p>
    <w:sectPr w:rsidR="004D6F0B" w:rsidRPr="00581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58C"/>
    <w:rsid w:val="000B558C"/>
    <w:rsid w:val="004D6F0B"/>
    <w:rsid w:val="005811C3"/>
    <w:rsid w:val="009A4164"/>
    <w:rsid w:val="00E54A89"/>
    <w:rsid w:val="00E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850E"/>
  <w15:chartTrackingRefBased/>
  <w15:docId w15:val="{00D4AC29-397C-4B0D-9296-79DB43B9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 Ferreira</dc:creator>
  <cp:keywords/>
  <dc:description/>
  <cp:lastModifiedBy>Filipe Goncalves</cp:lastModifiedBy>
  <cp:revision>4</cp:revision>
  <dcterms:created xsi:type="dcterms:W3CDTF">2018-04-04T18:14:00Z</dcterms:created>
  <dcterms:modified xsi:type="dcterms:W3CDTF">2019-11-10T20:03:00Z</dcterms:modified>
</cp:coreProperties>
</file>