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Primegramas — Guia de Contexto Completo</w:t>
      </w:r>
    </w:p>
    <w:p>
      <w:pPr>
        <w:spacing w:after="140"/>
      </w:pPr>
      <w:r>
        <w:rPr>
          <w:b w:val="false"/>
          <w:bCs w:val="false"/>
          <w:i/>
          <w:iCs/>
        </w:rPr>
        <w:t xml:space="preserve">Documento de memória para uso por assistentes de IA. Compilado a partir da Wiki de Vendas no Notion da Primegramas em 31/08/2026. Recomenda-se atualizar este guia sempre que a Wiki do Notion mudar, especialmente nas seções listadas como incompletas na Seção 9.</w:t>
      </w:r>
    </w:p>
    <w:p>
      <w:pPr>
        <w:pStyle w:val="Heading1"/>
        <w:spacing w:after="160" w:before="200"/>
      </w:pPr>
      <w:r>
        <w:t xml:space="preserve">1. Visão Geral da Empresa</w:t>
      </w:r>
    </w:p>
    <w:p>
      <w:pPr>
        <w:spacing w:after="140"/>
      </w:pPr>
      <w:r>
        <w:rPr>
          <w:b/>
          <w:bCs/>
          <w:i w:val="false"/>
          <w:iCs w:val="false"/>
        </w:rPr>
        <w:t xml:space="preserve">História: </w:t>
      </w:r>
      <w:r>
        <w:rPr>
          <w:b w:val="false"/>
          <w:bCs w:val="false"/>
          <w:i w:val="false"/>
          <w:iCs w:val="false"/>
        </w:rPr>
        <w:t xml:space="preserve">Fundada em 2010, a Primegramas nasceu do know-how da sócia fundadora, que atuou como vendedora em uma fábrica de grama sintética. No início, o mercado era pequeno e monopolizado, sem opções de atendimento de qualidade. Identificando essa oportunidade, a empresa criou sua própria unidade, priorizando excelência no atendimento e nos produtos. Esse diferencial impulsionou rapidamente uma rede de clientes fiéis, especialmente síndicos de condomínios. Após 14 anos, a operação expandiu com uma unidade em Portugal e planos de franquia no Brasil.</w:t>
      </w:r>
    </w:p>
    <w:p>
      <w:pPr>
        <w:spacing w:after="140"/>
      </w:pPr>
      <w:r>
        <w:rPr>
          <w:b/>
          <w:bCs/>
          <w:i w:val="false"/>
          <w:iCs w:val="false"/>
        </w:rPr>
        <w:t xml:space="preserve">Propósito e problemas que resolve: </w:t>
      </w:r>
      <w:r>
        <w:rPr>
          <w:b w:val="false"/>
          <w:bCs w:val="false"/>
          <w:i w:val="false"/>
          <w:iCs w:val="false"/>
        </w:rPr>
        <w:t xml:space="preserve">Transformar áreas recreativas e esportivas em espaços funcionais e atraentes, especialmente em condomínios, clubes e escolas. Necessidades atendidas:</w:t>
      </w:r>
    </w:p>
    <w:p>
      <w:pPr>
        <w:pStyle w:val="ListParagraph"/>
        <w:numPr>
          <w:ilvl w:val="0"/>
          <w:numId w:val="2"/>
        </w:numPr>
        <w:spacing w:after="80"/>
      </w:pPr>
      <w:r>
        <w:t xml:space="preserve">Tornar áreas comuns utilizáveis mesmo em períodos de chuva intensa</w:t>
      </w:r>
    </w:p>
    <w:p>
      <w:pPr>
        <w:pStyle w:val="ListParagraph"/>
        <w:numPr>
          <w:ilvl w:val="0"/>
          <w:numId w:val="2"/>
        </w:numPr>
        <w:spacing w:after="80"/>
      </w:pPr>
      <w:r>
        <w:t xml:space="preserve">Criar ambientes acolhedores para crianças em escolas</w:t>
      </w:r>
    </w:p>
    <w:p>
      <w:pPr>
        <w:pStyle w:val="ListParagraph"/>
        <w:numPr>
          <w:ilvl w:val="0"/>
          <w:numId w:val="2"/>
        </w:numPr>
        <w:spacing w:after="80"/>
      </w:pPr>
      <w:r>
        <w:t xml:space="preserve">Proporcionar espaços verdes e econômicos para residências e clubes</w:t>
      </w:r>
    </w:p>
    <w:p>
      <w:pPr>
        <w:pStyle w:val="ListParagraph"/>
        <w:numPr>
          <w:ilvl w:val="0"/>
          <w:numId w:val="2"/>
        </w:numPr>
        <w:spacing w:after="80"/>
      </w:pPr>
      <w:r>
        <w:t xml:space="preserve">Renovar campos society e quadras esportivas (tênis, padel)</w:t>
      </w:r>
    </w:p>
    <w:p>
      <w:pPr>
        <w:spacing w:after="140"/>
      </w:pPr>
      <w:r>
        <w:rPr>
          <w:b/>
          <w:bCs/>
          <w:i w:val="false"/>
          <w:iCs w:val="false"/>
        </w:rPr>
        <w:t xml:space="preserve">Proposta de valor:</w:t>
      </w:r>
    </w:p>
    <w:p>
      <w:pPr>
        <w:pStyle w:val="ListParagraph"/>
        <w:numPr>
          <w:ilvl w:val="0"/>
          <w:numId w:val="2"/>
        </w:numPr>
        <w:spacing w:after="80"/>
      </w:pPr>
      <w:r>
        <w:rPr>
          <w:b/>
          <w:bCs/>
          <w:i w:val="false"/>
          <w:iCs w:val="false"/>
        </w:rPr>
        <w:t xml:space="preserve">Soluções duráveis e práticas: </w:t>
      </w:r>
      <w:r>
        <w:rPr>
          <w:b w:val="false"/>
          <w:bCs w:val="false"/>
          <w:i w:val="false"/>
          <w:iCs w:val="false"/>
        </w:rPr>
        <w:t xml:space="preserve">produtos de alta qualidade com proteção UV, sistemas antibacterianos e resistência a chamas.</w:t>
      </w:r>
    </w:p>
    <w:p>
      <w:pPr>
        <w:pStyle w:val="ListParagraph"/>
        <w:numPr>
          <w:ilvl w:val="0"/>
          <w:numId w:val="2"/>
        </w:numPr>
        <w:spacing w:after="80"/>
      </w:pPr>
      <w:r>
        <w:rPr>
          <w:b/>
          <w:bCs/>
          <w:i w:val="false"/>
          <w:iCs w:val="false"/>
        </w:rPr>
        <w:t xml:space="preserve">Atendimento de excelência: </w:t>
      </w:r>
      <w:r>
        <w:rPr>
          <w:b w:val="false"/>
          <w:bCs w:val="false"/>
          <w:i w:val="false"/>
          <w:iCs w:val="false"/>
        </w:rPr>
        <w:t xml:space="preserve">suporte personalizado e humanizado do primeiro contato ao pós-venda, com atendimento ágil, claro e eficiente.</w:t>
      </w:r>
    </w:p>
    <w:p>
      <w:pPr>
        <w:pStyle w:val="ListParagraph"/>
        <w:numPr>
          <w:ilvl w:val="0"/>
          <w:numId w:val="2"/>
        </w:numPr>
        <w:spacing w:after="80"/>
      </w:pPr>
      <w:r>
        <w:rPr>
          <w:b/>
          <w:bCs/>
          <w:i w:val="false"/>
          <w:iCs w:val="false"/>
        </w:rPr>
        <w:t xml:space="preserve">Economia e sustentabilidade: </w:t>
      </w:r>
      <w:r>
        <w:rPr>
          <w:b w:val="false"/>
          <w:bCs w:val="false"/>
          <w:i w:val="false"/>
          <w:iCs w:val="false"/>
        </w:rPr>
        <w:t xml:space="preserve">redução de custos com manutenção (água, cortes regulares) e preservação ambiental.</w:t>
      </w:r>
    </w:p>
    <w:p>
      <w:pPr>
        <w:pStyle w:val="ListParagraph"/>
        <w:numPr>
          <w:ilvl w:val="0"/>
          <w:numId w:val="2"/>
        </w:numPr>
        <w:spacing w:after="80"/>
      </w:pPr>
      <w:r>
        <w:rPr>
          <w:b/>
          <w:bCs/>
          <w:i w:val="false"/>
          <w:iCs w:val="false"/>
        </w:rPr>
        <w:t xml:space="preserve">Melhoria da experiência: </w:t>
      </w:r>
      <w:r>
        <w:rPr>
          <w:b w:val="false"/>
          <w:bCs w:val="false"/>
          <w:i w:val="false"/>
          <w:iCs w:val="false"/>
        </w:rPr>
        <w:t xml:space="preserve">espaços funcionais, esteticamente agradáveis e confortáveis.</w:t>
      </w:r>
    </w:p>
    <w:p>
      <w:pPr>
        <w:spacing w:after="140"/>
      </w:pPr>
      <w:r>
        <w:rPr>
          <w:b/>
          <w:bCs/>
          <w:i w:val="false"/>
          <w:iCs w:val="false"/>
        </w:rPr>
        <w:t xml:space="preserve">Cultura e filosofia: </w:t>
      </w:r>
      <w:r>
        <w:rPr>
          <w:b w:val="false"/>
          <w:bCs w:val="false"/>
          <w:i w:val="false"/>
          <w:iCs w:val="false"/>
        </w:rPr>
        <w:t xml:space="preserve">Espírito de startup ágil e eficiente, com boas condições de trabalho para uma equipe enxuta. Cultura de empresa familiar, colaborativa, com interação fluida entre setores. Filosofia guiada por confiança e proatividade — um time engajado e sincero é a base do atendimento de excelência.</w:t>
      </w:r>
    </w:p>
    <w:p>
      <w:pPr>
        <w:spacing w:after="140"/>
      </w:pPr>
      <w:r>
        <w:rPr>
          <w:b/>
          <w:bCs/>
          <w:i w:val="false"/>
          <w:iCs w:val="false"/>
        </w:rPr>
        <w:t xml:space="preserve">Orientações gerais de atendimento ao cliente (válidas para todos os canais):</w:t>
      </w:r>
    </w:p>
    <w:p>
      <w:pPr>
        <w:pStyle w:val="ListParagraph"/>
        <w:numPr>
          <w:ilvl w:val="0"/>
          <w:numId w:val="3"/>
        </w:numPr>
        <w:spacing w:after="80"/>
      </w:pPr>
      <w:r>
        <w:t xml:space="preserve">Sempre ágil — nunca deixar o cliente sem resposta.</w:t>
      </w:r>
    </w:p>
    <w:p>
      <w:pPr>
        <w:pStyle w:val="ListParagraph"/>
        <w:numPr>
          <w:ilvl w:val="0"/>
          <w:numId w:val="3"/>
        </w:numPr>
        <w:spacing w:after="80"/>
      </w:pPr>
      <w:r>
        <w:t xml:space="preserve">Tom profissional, mas acolhedor, com interesse genuíno nas necessidades do cliente.</w:t>
      </w:r>
    </w:p>
    <w:p>
      <w:pPr>
        <w:pStyle w:val="ListParagraph"/>
        <w:numPr>
          <w:ilvl w:val="0"/>
          <w:numId w:val="3"/>
        </w:numPr>
        <w:spacing w:after="80"/>
      </w:pPr>
      <w:r>
        <w:t xml:space="preserve">Informações claras sobre produtos e serviços, destacando durabilidade e indicação de cada produto.</w:t>
      </w:r>
    </w:p>
    <w:p>
      <w:pPr>
        <w:pStyle w:val="ListParagraph"/>
        <w:numPr>
          <w:ilvl w:val="0"/>
          <w:numId w:val="3"/>
        </w:numPr>
        <w:spacing w:after="80"/>
      </w:pPr>
      <w:r>
        <w:t xml:space="preserve">Posicionar os produtos como resposta aos problemas e desejos do cliente (economia, estética, sustentabilidade).</w:t>
      </w:r>
    </w:p>
    <w:p>
      <w:pPr>
        <w:pStyle w:val="ListParagraph"/>
        <w:numPr>
          <w:ilvl w:val="0"/>
          <w:numId w:val="3"/>
        </w:numPr>
        <w:spacing w:after="80"/>
      </w:pPr>
      <w:r>
        <w:t xml:space="preserve">Finalizar com mensagens positivas, reafirmando o compromisso com excelência no atendimento.</w:t>
      </w:r>
    </w:p>
    <w:p>
      <w:pPr>
        <w:pStyle w:val="Heading1"/>
        <w:spacing w:after="160" w:before="200"/>
      </w:pPr>
      <w:r>
        <w:t xml:space="preserve">2. Produtos</w:t>
      </w:r>
    </w:p>
    <w:p>
      <w:pPr>
        <w:pStyle w:val="Heading2"/>
        <w:spacing w:after="120" w:before="280"/>
      </w:pPr>
      <w:r>
        <w:t xml:space="preserve">2.1 Grama Sintética — Linha Decorativa / Recreativa</w:t>
      </w:r>
    </w:p>
    <w:p>
      <w:pPr>
        <w:spacing w:after="140"/>
      </w:pPr>
      <w:r>
        <w:t xml:space="preserve">Desenvolvida para ambientes que exigem leveza e funcionalidade. Criada originalmente para paisagismo e decoração, ganhou espaço em áreas recreativas de escolas, condomínios e eventos.</w:t>
      </w:r>
    </w:p>
    <w:p>
      <w:pPr>
        <w:spacing w:after="140"/>
      </w:pPr>
      <w:r>
        <w:t xml:space="preserve">Composição técnica:</w:t>
      </w:r>
    </w:p>
    <w:p>
      <w:pPr>
        <w:pStyle w:val="ListParagraph"/>
        <w:numPr>
          <w:ilvl w:val="0"/>
          <w:numId w:val="2"/>
        </w:numPr>
        <w:spacing w:after="80"/>
      </w:pPr>
      <w:r>
        <w:rPr>
          <w:b/>
          <w:bCs/>
          <w:i w:val="false"/>
          <w:iCs w:val="false"/>
        </w:rPr>
        <w:t xml:space="preserve">Base: </w:t>
      </w:r>
      <w:r>
        <w:rPr>
          <w:b w:val="false"/>
          <w:bCs w:val="false"/>
          <w:i w:val="false"/>
          <w:iCs w:val="false"/>
        </w:rPr>
        <w:t xml:space="preserve">Polipropileno revestido com 2 camadas de látex, garantindo aderência ao solo e suporte à costura dos fios.</w:t>
      </w:r>
    </w:p>
    <w:p>
      <w:pPr>
        <w:pStyle w:val="ListParagraph"/>
        <w:numPr>
          <w:ilvl w:val="0"/>
          <w:numId w:val="2"/>
        </w:numPr>
        <w:spacing w:after="80"/>
      </w:pPr>
      <w:r>
        <w:rPr>
          <w:b/>
          <w:bCs/>
          <w:i w:val="false"/>
          <w:iCs w:val="false"/>
        </w:rPr>
        <w:t xml:space="preserve">Fio: </w:t>
      </w:r>
      <w:r>
        <w:rPr>
          <w:b w:val="false"/>
          <w:bCs w:val="false"/>
          <w:i w:val="false"/>
          <w:iCs w:val="false"/>
        </w:rPr>
        <w:t xml:space="preserve">Polietileno Virgem (diferencial frente a produtos chineses de material reciclado), variando em altura, espessura e material para aparência natural e toque macio.</w:t>
      </w:r>
    </w:p>
    <w:p>
      <w:pPr>
        <w:spacing w:after="140"/>
      </w:pPr>
      <w:r>
        <w:t xml:space="preserve">Indicações de uso: Playground, Eventos, Quintal/Varanda, Academia, Jardim, Vitrines, Miniquadras, Piscina, Pet, Campos e Quadras, Tênis, Golf, Padel.</w:t>
      </w:r>
    </w:p>
    <w:p>
      <w:pPr>
        <w:spacing w:after="140"/>
      </w:pPr>
      <w:r>
        <w:t xml:space="preserve">Modelos: 10mm Fibrilada, 12mm Fibrilada, 20mm Fibrilada, 20mm Monofilada, 20mm Soft Garden / Soft Euro, 30mm Soft Garden, 30mm Delta Bicolor, 12mm Color (colorida: amarela, vermelho, azul, preto, branco, roxo, rosa). Durabilidade típica de 3 a 10 anos conforme o modelo e o tráfego do ambiente, com garantia de 1 a 3 anos conforme o modelo.</w:t>
      </w:r>
    </w:p>
    <w:p>
      <w:pPr>
        <w:pStyle w:val="Heading2"/>
        <w:spacing w:after="120" w:before="280"/>
      </w:pPr>
      <w:r>
        <w:t xml:space="preserve">2.2 Grama Sintética — Linha Esportiva / Campos</w:t>
      </w:r>
    </w:p>
    <w:p>
      <w:pPr>
        <w:spacing w:after="140"/>
      </w:pPr>
      <w:r>
        <w:t xml:space="preserve">Desenvolvida para alto desempenho em campos de futebol, quadras esportivas e espaços recreativos de uso intenso.</w:t>
      </w:r>
    </w:p>
    <w:p>
      <w:pPr>
        <w:pStyle w:val="ListParagraph"/>
        <w:numPr>
          <w:ilvl w:val="0"/>
          <w:numId w:val="2"/>
        </w:numPr>
        <w:spacing w:after="80"/>
      </w:pPr>
      <w:r>
        <w:rPr>
          <w:b/>
          <w:bCs/>
          <w:i w:val="false"/>
          <w:iCs w:val="false"/>
        </w:rPr>
        <w:t xml:space="preserve">Base: </w:t>
      </w:r>
      <w:r>
        <w:rPr>
          <w:b w:val="false"/>
          <w:bCs w:val="false"/>
          <w:i w:val="false"/>
          <w:iCs w:val="false"/>
        </w:rPr>
        <w:t xml:space="preserve">Polipropileno com 2 a 3 camadas de látex.</w:t>
      </w:r>
    </w:p>
    <w:p>
      <w:pPr>
        <w:pStyle w:val="ListParagraph"/>
        <w:numPr>
          <w:ilvl w:val="0"/>
          <w:numId w:val="2"/>
        </w:numPr>
        <w:spacing w:after="80"/>
      </w:pPr>
      <w:r>
        <w:rPr>
          <w:b/>
          <w:bCs/>
          <w:i w:val="false"/>
          <w:iCs w:val="false"/>
        </w:rPr>
        <w:t xml:space="preserve">Fio: </w:t>
      </w:r>
      <w:r>
        <w:rPr>
          <w:b w:val="false"/>
          <w:bCs w:val="false"/>
          <w:i w:val="false"/>
          <w:iCs w:val="false"/>
        </w:rPr>
        <w:t xml:space="preserve">Polietileno Virgem (sem material reciclado, ao contrário de muitos importados).</w:t>
      </w:r>
    </w:p>
    <w:p>
      <w:pPr>
        <w:pStyle w:val="ListParagraph"/>
        <w:numPr>
          <w:ilvl w:val="0"/>
          <w:numId w:val="2"/>
        </w:numPr>
        <w:spacing w:after="80"/>
      </w:pPr>
      <w:r>
        <w:rPr>
          <w:b/>
          <w:bCs/>
          <w:i w:val="false"/>
          <w:iCs w:val="false"/>
        </w:rPr>
        <w:t xml:space="preserve">Densidade dos fios: </w:t>
      </w:r>
      <w:r>
        <w:rPr>
          <w:b w:val="false"/>
          <w:bCs w:val="false"/>
          <w:i w:val="false"/>
          <w:iCs w:val="false"/>
        </w:rPr>
        <w:t xml:space="preserve">influencia durabilidade e absorção de impacto.</w:t>
      </w:r>
    </w:p>
    <w:p>
      <w:pPr>
        <w:pStyle w:val="ListParagraph"/>
        <w:numPr>
          <w:ilvl w:val="0"/>
          <w:numId w:val="2"/>
        </w:numPr>
        <w:spacing w:after="80"/>
      </w:pPr>
      <w:r>
        <w:rPr>
          <w:b/>
          <w:bCs/>
          <w:i w:val="false"/>
          <w:iCs w:val="false"/>
        </w:rPr>
        <w:t xml:space="preserve">Altura dos fios: </w:t>
      </w:r>
      <w:r>
        <w:rPr>
          <w:b w:val="false"/>
          <w:bCs w:val="false"/>
          <w:i w:val="false"/>
          <w:iCs w:val="false"/>
        </w:rPr>
        <w:t xml:space="preserve">geralmente entre 40mm e 60mm para campos de futebol.</w:t>
      </w:r>
    </w:p>
    <w:p>
      <w:pPr>
        <w:pStyle w:val="ListParagraph"/>
        <w:numPr>
          <w:ilvl w:val="0"/>
          <w:numId w:val="2"/>
        </w:numPr>
        <w:spacing w:after="80"/>
      </w:pPr>
      <w:r>
        <w:rPr>
          <w:b/>
          <w:bCs/>
          <w:i w:val="false"/>
          <w:iCs w:val="false"/>
        </w:rPr>
        <w:t xml:space="preserve">Sistema de drenagem: </w:t>
      </w:r>
      <w:r>
        <w:rPr>
          <w:b w:val="false"/>
          <w:bCs w:val="false"/>
          <w:i w:val="false"/>
          <w:iCs w:val="false"/>
        </w:rPr>
        <w:t xml:space="preserve">absorção rápida de água, evita poças, garante jogabilidade na chuva.</w:t>
      </w:r>
    </w:p>
    <w:p>
      <w:pPr>
        <w:pStyle w:val="ListParagraph"/>
        <w:numPr>
          <w:ilvl w:val="0"/>
          <w:numId w:val="2"/>
        </w:numPr>
        <w:spacing w:after="80"/>
      </w:pPr>
      <w:r>
        <w:rPr>
          <w:b/>
          <w:bCs/>
          <w:i w:val="false"/>
          <w:iCs w:val="false"/>
        </w:rPr>
        <w:t xml:space="preserve">Resistência UV: </w:t>
      </w:r>
      <w:r>
        <w:rPr>
          <w:b w:val="false"/>
          <w:bCs w:val="false"/>
          <w:i w:val="false"/>
          <w:iCs w:val="false"/>
        </w:rPr>
        <w:t xml:space="preserve">tratamento contra desbotamento pela exposição solar.</w:t>
      </w:r>
    </w:p>
    <w:p>
      <w:pPr>
        <w:pStyle w:val="ListParagraph"/>
        <w:numPr>
          <w:ilvl w:val="0"/>
          <w:numId w:val="2"/>
        </w:numPr>
        <w:spacing w:after="80"/>
      </w:pPr>
      <w:r>
        <w:rPr>
          <w:b/>
          <w:bCs/>
          <w:i w:val="false"/>
          <w:iCs w:val="false"/>
        </w:rPr>
        <w:t xml:space="preserve">Preenchimento: </w:t>
      </w:r>
      <w:r>
        <w:rPr>
          <w:b w:val="false"/>
          <w:bCs w:val="false"/>
          <w:i w:val="false"/>
          <w:iCs w:val="false"/>
        </w:rPr>
        <w:t xml:space="preserve">areia, borracha ou outros materiais para amortecimento e estabilidade.</w:t>
      </w:r>
    </w:p>
    <w:p>
      <w:pPr>
        <w:spacing w:after="140"/>
      </w:pPr>
      <w:r>
        <w:t xml:space="preserve">Modelos: 20mm Esportiva, 30mm Delta, 40mm Esportiva, 50mm Esportiva.</w:t>
      </w:r>
    </w:p>
    <w:p>
      <w:pPr>
        <w:pStyle w:val="Heading2"/>
        <w:spacing w:after="120" w:before="280"/>
      </w:pPr>
      <w:r>
        <w:t xml:space="preserve">2.3 Colas</w:t>
      </w:r>
    </w:p>
    <w:p>
      <w:pPr>
        <w:spacing w:after="140"/>
      </w:pPr>
      <w:r>
        <w:rPr>
          <w:b/>
          <w:bCs/>
          <w:i w:val="false"/>
          <w:iCs w:val="false"/>
        </w:rPr>
        <w:t xml:space="preserve">Cola de Contato (Cola de Sapateiro): </w:t>
      </w:r>
      <w:r>
        <w:rPr>
          <w:b w:val="false"/>
          <w:bCs w:val="false"/>
          <w:i w:val="false"/>
          <w:iCs w:val="false"/>
        </w:rPr>
        <w:t xml:space="preserve">latas de 2,5 kg ou 2,8 kg. Fixação por contato de duas partes com cola, pressionadas após secagem ao ar. Usada para instalar grama decorativa sobre contrapiso de concreto. Consumo padrão: 1 lata para cada 20m² (metragem total ÷ 20 = número de latas).</w:t>
      </w:r>
    </w:p>
    <w:p>
      <w:pPr>
        <w:spacing w:after="140"/>
      </w:pPr>
      <w:r>
        <w:rPr>
          <w:b/>
          <w:bCs/>
          <w:i w:val="false"/>
          <w:iCs w:val="false"/>
        </w:rPr>
        <w:t xml:space="preserve">Cola P.U. Bicomponente: </w:t>
      </w:r>
      <w:r>
        <w:rPr>
          <w:b w:val="false"/>
          <w:bCs w:val="false"/>
          <w:i w:val="false"/>
          <w:iCs w:val="false"/>
        </w:rPr>
        <w:t xml:space="preserve">baldes de 5 kg ou 15 kg. Poliuretano bicomponente (poliol + isocianato) que forma uma camada rígida tipo concreto — resistência e durabilidade mesmo em uso intenso e áreas externas. Usada em grama esportiva, piso emborrachado e grama decorativa sobre contrapiso de berço de brita.</w:t>
      </w:r>
    </w:p>
    <w:p>
      <w:pPr>
        <w:pStyle w:val="Heading2"/>
        <w:spacing w:after="120" w:before="280"/>
      </w:pPr>
      <w:r>
        <w:t xml:space="preserve">2.4 Amortecedor Shock Pad</w:t>
      </w:r>
    </w:p>
    <w:p>
      <w:pPr>
        <w:spacing w:after="140"/>
      </w:pPr>
      <w:r>
        <w:t xml:space="preserve">Manta amortecedora em material E.V.A., em rolo, cor preta padrão, largura de 1,40m x até 40 metros de comprimento. Espessura padrão de 6mm (pode ser fabricada com até 10mm). Ajuda a prevenir lesões em áreas infantis/playgrounds, já que a grama sintética por si só não amortece quedas.</w:t>
      </w:r>
    </w:p>
    <w:p>
      <w:pPr>
        <w:pStyle w:val="Heading2"/>
        <w:spacing w:after="120" w:before="280"/>
      </w:pPr>
      <w:r>
        <w:t xml:space="preserve">2.5 Contrapiso de Brita</w:t>
      </w:r>
    </w:p>
    <w:p>
      <w:pPr>
        <w:spacing w:after="140"/>
      </w:pPr>
      <w:r>
        <w:t xml:space="preserve">Alternativa oferecida a clientes que não podem ou não querem executar um contrapiso de concreto. Aplicação de brita graduada e pó de pedra, nivelado (ou com caimento para ralos/canaletas) e compactado com placa vibratória. Recomendado principalmente para áreas que hoje têm grama natural, por ter melhor custo-benefício que o concreto.</w:t>
      </w:r>
    </w:p>
    <w:p>
      <w:pPr>
        <w:pStyle w:val="Heading2"/>
        <w:spacing w:after="120" w:before="280"/>
      </w:pPr>
      <w:r>
        <w:t xml:space="preserve">2.6 Tape / Grampo</w:t>
      </w:r>
    </w:p>
    <w:p>
      <w:pPr>
        <w:spacing w:after="140"/>
      </w:pPr>
      <w:r>
        <w:rPr>
          <w:b/>
          <w:bCs/>
          <w:i w:val="false"/>
          <w:iCs w:val="false"/>
        </w:rPr>
        <w:t xml:space="preserve">Tape: </w:t>
      </w:r>
      <w:r>
        <w:rPr>
          <w:b w:val="false"/>
          <w:bCs w:val="false"/>
          <w:i w:val="false"/>
          <w:iCs w:val="false"/>
        </w:rPr>
        <w:t xml:space="preserve">fita de união em feltro, usada para aplicar cola e unir os tapetes de grama sintética na instalação. Rolo de 30cm de largura x 100 metros. Utilizado sempre que a instalação for sobre contrapiso de berço de brita.</w:t>
      </w:r>
    </w:p>
    <w:p>
      <w:pPr>
        <w:spacing w:after="140"/>
      </w:pPr>
      <w:r>
        <w:rPr>
          <w:b/>
          <w:bCs/>
          <w:i w:val="false"/>
          <w:iCs w:val="false"/>
        </w:rPr>
        <w:t xml:space="preserve">Grampo (ou gancho): </w:t>
      </w:r>
      <w:r>
        <w:rPr>
          <w:b w:val="false"/>
          <w:bCs w:val="false"/>
          <w:i w:val="false"/>
          <w:iCs w:val="false"/>
        </w:rPr>
        <w:t xml:space="preserve">produzido em ferro pintado de verde, fixa o gramado em instalações sobre contrapiso de brita (onde não é possível colagem). Pacote com 6 unidades.</w:t>
      </w:r>
    </w:p>
    <w:p>
      <w:pPr>
        <w:pStyle w:val="Heading1"/>
        <w:spacing w:after="160" w:before="200"/>
      </w:pPr>
      <w:r>
        <w:t xml:space="preserve">3. Precificação</w:t>
      </w:r>
    </w:p>
    <w:p>
      <w:pPr>
        <w:spacing w:after="140"/>
      </w:pPr>
      <w:r>
        <w:rPr>
          <w:b/>
          <w:bCs/>
          <w:i w:val="false"/>
          <w:iCs w:val="false"/>
        </w:rPr>
        <w:t xml:space="preserve">Lógica de precificação: </w:t>
      </w:r>
      <w:r>
        <w:rPr>
          <w:b w:val="false"/>
          <w:bCs w:val="false"/>
          <w:i w:val="false"/>
          <w:iCs w:val="false"/>
        </w:rPr>
        <w:t xml:space="preserve">preço de mercado — pesquisas mensais com concorrentes para manter o preço médio. Base: custo de produção + margem/lucro médio, ajustada pela estratégia de preço de mercado e por segmentação de cliente.</w:t>
      </w:r>
    </w:p>
    <w:p>
      <w:pPr>
        <w:spacing w:after="140"/>
      </w:pPr>
      <w:r>
        <w:rPr>
          <w:b/>
          <w:bCs/>
          <w:i w:val="false"/>
          <w:iCs w:val="false"/>
        </w:rPr>
        <w:t xml:space="preserve">Formas de pagamento e recebimento:</w:t>
      </w:r>
    </w:p>
    <w:p>
      <w:pPr>
        <w:pStyle w:val="ListParagraph"/>
        <w:numPr>
          <w:ilvl w:val="0"/>
          <w:numId w:val="2"/>
        </w:numPr>
        <w:spacing w:after="80"/>
      </w:pPr>
      <w:r>
        <w:t xml:space="preserve">Regra geral: sempre com entrada — a instalação só ocorre após o pagamento da entrada. Exceção: escolas da Prefeitura pagam no dia da instalação via Pix ou débito.</w:t>
      </w:r>
    </w:p>
    <w:p>
      <w:pPr>
        <w:pStyle w:val="ListParagraph"/>
        <w:numPr>
          <w:ilvl w:val="0"/>
          <w:numId w:val="2"/>
        </w:numPr>
        <w:spacing w:after="80"/>
      </w:pPr>
      <w:r>
        <w:rPr>
          <w:b/>
          <w:bCs/>
          <w:i w:val="false"/>
          <w:iCs w:val="false"/>
        </w:rPr>
        <w:t xml:space="preserve">Pessoa física: </w:t>
      </w:r>
      <w:r>
        <w:rPr>
          <w:b w:val="false"/>
          <w:bCs w:val="false"/>
          <w:i w:val="false"/>
          <w:iCs w:val="false"/>
        </w:rPr>
        <w:t xml:space="preserve">apenas cartão de crédito (até 6x sem juros ou até 12x com juros) ou Pix.</w:t>
      </w:r>
    </w:p>
    <w:p>
      <w:pPr>
        <w:pStyle w:val="ListParagraph"/>
        <w:numPr>
          <w:ilvl w:val="0"/>
          <w:numId w:val="2"/>
        </w:numPr>
        <w:spacing w:after="80"/>
      </w:pPr>
      <w:r>
        <w:rPr>
          <w:b/>
          <w:bCs/>
          <w:i w:val="false"/>
          <w:iCs w:val="false"/>
        </w:rPr>
        <w:t xml:space="preserve">Empresas (PJ): </w:t>
      </w:r>
      <w:r>
        <w:rPr>
          <w:b w:val="false"/>
          <w:bCs w:val="false"/>
          <w:i w:val="false"/>
          <w:iCs w:val="false"/>
        </w:rPr>
        <w:t xml:space="preserve">parcelamento no boleto conforme metragem (tabela). É permitido subir para a próxima faixa quando a diferença for de até 10%; acima disso, entra na linha de EXCEÇÕES.</w:t>
      </w:r>
    </w:p>
    <w:p>
      <w:pPr>
        <w:pStyle w:val="ListParagraph"/>
        <w:numPr>
          <w:ilvl w:val="0"/>
          <w:numId w:val="2"/>
        </w:numPr>
        <w:spacing w:after="80"/>
      </w:pPr>
      <w:r>
        <w:rPr>
          <w:b/>
          <w:bCs/>
          <w:i w:val="false"/>
          <w:iCs w:val="false"/>
        </w:rPr>
        <w:t xml:space="preserve">Pagamento à vista: </w:t>
      </w:r>
      <w:r>
        <w:rPr>
          <w:b w:val="false"/>
          <w:bCs w:val="false"/>
          <w:i w:val="false"/>
          <w:iCs w:val="false"/>
        </w:rPr>
        <w:t xml:space="preserve">ideal 100% no pedido. Alternativa: 50% no pedido e saldo no dia da instalação (Pix ou maquininha do instalador). Pagamento total só no dia da instalação é possível, mas entra como EXCEÇÃO.</w:t>
      </w:r>
    </w:p>
    <w:p>
      <w:pPr>
        <w:pStyle w:val="Heading1"/>
        <w:spacing w:after="160" w:before="200"/>
      </w:pPr>
      <w:r>
        <w:t xml:space="preserve">4. Processo Comercial</w:t>
      </w:r>
    </w:p>
    <w:p>
      <w:pPr>
        <w:pStyle w:val="Heading2"/>
        <w:spacing w:after="120" w:before="280"/>
      </w:pPr>
      <w:r>
        <w:t xml:space="preserve">4.1 Atendimento de Leads</w:t>
      </w:r>
    </w:p>
    <w:p>
      <w:pPr>
        <w:spacing w:after="140"/>
      </w:pPr>
      <w:r>
        <w:t xml:space="preserve">Todo atendimento segue tom de formalidade porém humanizado, independentemente do canal.</w:t>
      </w:r>
    </w:p>
    <w:p>
      <w:pPr>
        <w:spacing w:after="140"/>
      </w:pPr>
      <w:r>
        <w:rPr>
          <w:b/>
          <w:bCs/>
          <w:i w:val="false"/>
          <w:iCs w:val="false"/>
        </w:rPr>
        <w:t xml:space="preserve">Telefone: </w:t>
      </w:r>
      <w:r>
        <w:rPr>
          <w:b w:val="false"/>
          <w:bCs w:val="false"/>
          <w:i w:val="false"/>
          <w:iCs w:val="false"/>
        </w:rPr>
        <w:t xml:space="preserve">o ADM atende e filtra — assunto comercial é transferido ao setor; ADM/financeiro é resolvido direto. Valores não devem ser informados por telefone, salvo insistência real do cliente. Script ADM: cumprimenta, se identifica, pergunta como ajudar e transfere ao comercial. Script Comercial: entende a finalidade do projeto, se é instalação nova ou troca, estimativa de metragem, se quer incluir instalação, solicita fotos do local (se com instalação), pergunta a região da obra e informa envio da proposta por e-mail.</w:t>
      </w:r>
    </w:p>
    <w:p>
      <w:pPr>
        <w:spacing w:after="140"/>
      </w:pPr>
      <w:r>
        <w:rPr>
          <w:b/>
          <w:bCs/>
          <w:i w:val="false"/>
          <w:iCs w:val="false"/>
        </w:rPr>
        <w:t xml:space="preserve">WhatsApp: </w:t>
      </w:r>
      <w:r>
        <w:rPr>
          <w:b w:val="false"/>
          <w:bCs w:val="false"/>
          <w:i w:val="false"/>
          <w:iCs w:val="false"/>
        </w:rPr>
        <w:t xml:space="preserve">um chatbot direciona o cliente à vendedora responsável, que segue o script conforme o tipo de cliente. PJ: finalidade, troca ou instalação nova, metragem, situação do piso, necessidade de instalação, sobrenome, CEP, e-mail, telefone fixo, fotos (se com instalação); depois envia apresentação, catálogo e orçamento. PF: mesma lógica, mais enxuta. Campo (obras maiores): região da obra e e-mail para envio dos detalhes.</w:t>
      </w:r>
    </w:p>
    <w:p>
      <w:pPr>
        <w:spacing w:after="140"/>
      </w:pPr>
      <w:r>
        <w:rPr>
          <w:b/>
          <w:bCs/>
          <w:i w:val="false"/>
          <w:iCs w:val="false"/>
        </w:rPr>
        <w:t xml:space="preserve">Email: </w:t>
      </w:r>
      <w:r>
        <w:rPr>
          <w:b w:val="false"/>
          <w:bCs w:val="false"/>
          <w:i w:val="false"/>
          <w:iCs w:val="false"/>
        </w:rPr>
        <w:t xml:space="preserve">pedidos podem chegar no e-mail do ADM ou do comercial — mesma linha de atendimento, tom formal porém humanizado. Script sem informações: agradece o contato, apresenta o compromisso da empresa, solicita metragem/finalidade (e foto se houver instalação), informa envio da proposta e material institucional. Script com detalhes já enviados: agradece a oportunidade, confirma que a proposta personalizada está sendo preparada.</w:t>
      </w:r>
    </w:p>
    <w:p>
      <w:pPr>
        <w:spacing w:after="140"/>
      </w:pPr>
      <w:r>
        <w:rPr>
          <w:b/>
          <w:bCs/>
          <w:i w:val="false"/>
          <w:iCs w:val="false"/>
        </w:rPr>
        <w:t xml:space="preserve">Ativo (prospecção outbound): </w:t>
      </w:r>
      <w:r>
        <w:rPr>
          <w:b w:val="false"/>
          <w:bCs w:val="false"/>
          <w:i w:val="false"/>
          <w:iCs w:val="false"/>
        </w:rPr>
        <w:t xml:space="preserve">busca de novos leads por ligação, com objetivo de captar e-mails e identificar oportunidades. Público: Escolas, Construtoras, Empresas de Eventos e Administradoras. Scripts por segmento seguem a lógica: abordagem → pergunta se há projeto → se não, oferece portfólio por e-mail e encerra → se sim, coleta informações e oferece visita técnica com amostras → encerramento. Após a ligação, envia-se e-mail de apresentação com catálogo em anexo.</w:t>
      </w:r>
    </w:p>
    <w:p>
      <w:pPr>
        <w:pStyle w:val="Heading2"/>
        <w:spacing w:after="120" w:before="280"/>
      </w:pPr>
      <w:r>
        <w:t xml:space="preserve">4.2 Elaboração de Propostas (ERP Tiny)</w:t>
      </w:r>
    </w:p>
    <w:p>
      <w:pPr>
        <w:spacing w:after="140"/>
      </w:pPr>
      <w:r>
        <w:t xml:space="preserve">Envio ao cliente por WhatsApp e/ou e-mail (via Tiny, com cópia para o vendedor, e reenvio direto por e-mail para evitar falhas). A proposta deve conter apenas 1 modelo de grama indicado para a finalidade do cliente; opções extras vão no campo de observações.</w:t>
      </w:r>
    </w:p>
    <w:p>
      <w:pPr>
        <w:spacing w:after="140"/>
      </w:pPr>
      <w:r>
        <w:t xml:space="preserve">Passo a passo no Tiny (tiny.com.br):</w:t>
      </w:r>
    </w:p>
    <w:p>
      <w:pPr>
        <w:pStyle w:val="ListParagraph"/>
        <w:numPr>
          <w:ilvl w:val="0"/>
          <w:numId w:val="3"/>
        </w:numPr>
        <w:spacing w:after="80"/>
      </w:pPr>
      <w:r>
        <w:t xml:space="preserve">Menu Vendas → Propostas → Adicionar nova proposta, escolhendo o modelo correto (decorativa, esportiva, piso emborrachado etc.).</w:t>
      </w:r>
    </w:p>
    <w:p>
      <w:pPr>
        <w:pStyle w:val="ListParagraph"/>
        <w:numPr>
          <w:ilvl w:val="0"/>
          <w:numId w:val="3"/>
        </w:numPr>
        <w:spacing w:after="80"/>
      </w:pPr>
      <w:r>
        <w:t xml:space="preserve">Preencher todos os dados do cliente coletados no atendimento.</w:t>
      </w:r>
    </w:p>
    <w:p>
      <w:pPr>
        <w:pStyle w:val="ListParagraph"/>
        <w:numPr>
          <w:ilvl w:val="0"/>
          <w:numId w:val="3"/>
        </w:numPr>
        <w:spacing w:after="80"/>
      </w:pPr>
      <w:r>
        <w:t xml:space="preserve">Selecionar o nome do vendedor.</w:t>
      </w:r>
    </w:p>
    <w:p>
      <w:pPr>
        <w:pStyle w:val="ListParagraph"/>
        <w:numPr>
          <w:ilvl w:val="0"/>
          <w:numId w:val="3"/>
        </w:numPr>
        <w:spacing w:after="80"/>
      </w:pPr>
      <w:r>
        <w:t xml:space="preserve">Selecionar o modelo de grama indicado para a finalidade do cliente.</w:t>
      </w:r>
    </w:p>
    <w:p>
      <w:pPr>
        <w:pStyle w:val="ListParagraph"/>
        <w:numPr>
          <w:ilvl w:val="0"/>
          <w:numId w:val="3"/>
        </w:numPr>
        <w:spacing w:after="80"/>
      </w:pPr>
      <w:r>
        <w:t xml:space="preserve">Se com instalação: adicionar item de mão de obra na mesma metragem da área (ex.: 40m² de grama + 40m² de mão de obra).</w:t>
      </w:r>
    </w:p>
    <w:p>
      <w:pPr>
        <w:pStyle w:val="ListParagraph"/>
        <w:numPr>
          <w:ilvl w:val="0"/>
          <w:numId w:val="3"/>
        </w:numPr>
        <w:spacing w:after="80"/>
      </w:pPr>
      <w:r>
        <w:t xml:space="preserve">Adicionar cola de contato 2,8kg: metragem total ÷ 20 = número de latas (ex.: 40m² ÷ 20 = 2 latas).</w:t>
      </w:r>
    </w:p>
    <w:p>
      <w:pPr>
        <w:pStyle w:val="ListParagraph"/>
        <w:numPr>
          <w:ilvl w:val="0"/>
          <w:numId w:val="3"/>
        </w:numPr>
        <w:spacing w:after="80"/>
      </w:pPr>
      <w:r>
        <w:t xml:space="preserve">Preencher o campo Frete com o valor da região do cliente (tabela em anexo).</w:t>
      </w:r>
    </w:p>
    <w:p>
      <w:pPr>
        <w:pStyle w:val="ListParagraph"/>
        <w:numPr>
          <w:ilvl w:val="0"/>
          <w:numId w:val="3"/>
        </w:numPr>
        <w:spacing w:after="80"/>
      </w:pPr>
      <w:r>
        <w:t xml:space="preserve">Definir o campo Transportador (entrega própria com instalação; transportadora ou retirada conforme o caso).</w:t>
      </w:r>
    </w:p>
    <w:p>
      <w:pPr>
        <w:pStyle w:val="ListParagraph"/>
        <w:numPr>
          <w:ilvl w:val="0"/>
          <w:numId w:val="3"/>
        </w:numPr>
        <w:spacing w:after="80"/>
      </w:pPr>
      <w:r>
        <w:t xml:space="preserve">Condições comerciais: escolher parcelas conforme a lista de preços, manter o padrão "1 + tantas x" e clicar em "gerar parcelas". Primeira parcela sempre 40% do total; saldo dividido no restante. Indicar Boleto, Pix ou Cartão em cada parcela.</w:t>
      </w:r>
    </w:p>
    <w:p>
      <w:pPr>
        <w:pStyle w:val="ListParagraph"/>
        <w:numPr>
          <w:ilvl w:val="0"/>
          <w:numId w:val="3"/>
        </w:numPr>
        <w:spacing w:after="80"/>
      </w:pPr>
      <w:r>
        <w:t xml:space="preserve">Validade da proposta: sempre 7 dias.</w:t>
      </w:r>
    </w:p>
    <w:p>
      <w:pPr>
        <w:pStyle w:val="ListParagraph"/>
        <w:numPr>
          <w:ilvl w:val="0"/>
          <w:numId w:val="3"/>
        </w:numPr>
        <w:spacing w:after="80"/>
      </w:pPr>
      <w:r>
        <w:t xml:space="preserve">Prazo de entrega conforme o modelo de grama escolhido.</w:t>
      </w:r>
    </w:p>
    <w:p>
      <w:pPr>
        <w:pStyle w:val="ListParagraph"/>
        <w:numPr>
          <w:ilvl w:val="0"/>
          <w:numId w:val="3"/>
        </w:numPr>
        <w:spacing w:after="80"/>
      </w:pPr>
      <w:r>
        <w:t xml:space="preserve">Salvar.</w:t>
      </w:r>
    </w:p>
    <w:p>
      <w:pPr>
        <w:pStyle w:val="Heading2"/>
        <w:spacing w:after="120" w:before="280"/>
      </w:pPr>
      <w:r>
        <w:t xml:space="preserve">4.3 Follow-up de Propostas (Cobrança)</w:t>
      </w:r>
    </w:p>
    <w:p>
      <w:pPr>
        <w:pStyle w:val="ListParagraph"/>
        <w:numPr>
          <w:ilvl w:val="0"/>
          <w:numId w:val="2"/>
        </w:numPr>
        <w:spacing w:after="80"/>
      </w:pPr>
      <w:r>
        <w:t xml:space="preserve">Primeiro contato de follow-up: entre 3 e 5 dias após o envio, pelo mesmo canal de entrada do cliente, usando o script padrão.</w:t>
      </w:r>
    </w:p>
    <w:p>
      <w:pPr>
        <w:pStyle w:val="ListParagraph"/>
        <w:numPr>
          <w:ilvl w:val="0"/>
          <w:numId w:val="2"/>
        </w:numPr>
        <w:spacing w:after="80"/>
      </w:pPr>
      <w:r>
        <w:t xml:space="preserve">Contatos seguintes: a cada 15 dias, ajustando conforme a particularidade do cliente.</w:t>
      </w:r>
    </w:p>
    <w:p>
      <w:pPr>
        <w:pStyle w:val="ListParagraph"/>
        <w:numPr>
          <w:ilvl w:val="0"/>
          <w:numId w:val="2"/>
        </w:numPr>
        <w:spacing w:after="80"/>
      </w:pPr>
      <w:r>
        <w:t xml:space="preserve">Toda ação de follow-up deve ser registrada na aba "ocorrências" do ERP, citando sempre a situação individual do cliente.</w:t>
      </w:r>
    </w:p>
    <w:p>
      <w:pPr>
        <w:pStyle w:val="ListParagraph"/>
        <w:numPr>
          <w:ilvl w:val="0"/>
          <w:numId w:val="2"/>
        </w:numPr>
        <w:spacing w:after="80"/>
      </w:pPr>
      <w:r>
        <w:t xml:space="preserve">Propostas sem resposta ficam como "Pendentes" por no máximo 2 meses, depois viram "Não aprovado" com justificativa — exceto condomínios.</w:t>
      </w:r>
    </w:p>
    <w:p>
      <w:pPr>
        <w:pStyle w:val="ListParagraph"/>
        <w:numPr>
          <w:ilvl w:val="0"/>
          <w:numId w:val="2"/>
        </w:numPr>
        <w:spacing w:after="80"/>
      </w:pPr>
      <w:r>
        <w:rPr>
          <w:b/>
          <w:bCs/>
          <w:i w:val="false"/>
          <w:iCs w:val="false"/>
        </w:rPr>
        <w:t xml:space="preserve">Condomínios </w:t>
      </w:r>
      <w:r>
        <w:rPr>
          <w:b w:val="false"/>
          <w:bCs w:val="false"/>
          <w:i w:val="false"/>
          <w:iCs w:val="false"/>
        </w:rPr>
        <w:t xml:space="preserve">são exceção: podem levar meses (assembleia, corpo diretivo, administradoras, advogados). Só viram "não aprovado" se o cliente informar isso; caso contrário, contato a cada 20 ou 30 dias.</w:t>
      </w:r>
    </w:p>
    <w:p>
      <w:pPr>
        <w:spacing w:after="140"/>
      </w:pPr>
      <w:r>
        <w:rPr>
          <w:b/>
          <w:bCs/>
          <w:i w:val="false"/>
          <w:iCs w:val="false"/>
        </w:rPr>
        <w:t xml:space="preserve">Status de proposta: </w:t>
      </w:r>
      <w:r>
        <w:rPr>
          <w:b w:val="false"/>
          <w:bCs w:val="false"/>
          <w:i w:val="false"/>
          <w:iCs w:val="false"/>
        </w:rPr>
        <w:t xml:space="preserve">Rascunhos (nenhum follow-up feito) → Pendentes (cliente já deu posicionamento) → Aguardando (falta algo concreto para aprovar).</w:t>
      </w:r>
    </w:p>
    <w:p>
      <w:pPr>
        <w:spacing w:after="140"/>
      </w:pPr>
      <w:r>
        <w:rPr>
          <w:b/>
          <w:bCs/>
          <w:i w:val="false"/>
          <w:iCs w:val="false"/>
        </w:rPr>
        <w:t xml:space="preserve">Script padrão de follow-up: </w:t>
      </w:r>
      <w:r>
        <w:rPr>
          <w:b w:val="false"/>
          <w:bCs w:val="false"/>
          <w:i/>
          <w:iCs/>
        </w:rPr>
        <w:t xml:space="preserve">"Prezado(a) [Nome do Cliente], Boa Tarde. Espero que esteja tudo bem. Estou entrando em contato para saber se teve a oportunidade de revisar a proposta que enviamos para o projeto de gramado sintético. Estamos à disposição para esclarecer qualquer dúvida ou ajustar algo necessário. Agradecemos a confiança e aguardamos seu retorno. Atenciosamente,"</w:t>
      </w:r>
    </w:p>
    <w:p>
      <w:pPr>
        <w:pStyle w:val="Heading2"/>
        <w:spacing w:after="120" w:before="280"/>
      </w:pPr>
      <w:r>
        <w:t xml:space="preserve">4.4 Margens para Negociação</w:t>
      </w:r>
    </w:p>
    <w:p>
      <w:pPr>
        <w:spacing w:after="140"/>
      </w:pPr>
      <w:r>
        <w:rPr>
          <w:b/>
          <w:bCs/>
          <w:i w:val="false"/>
          <w:iCs w:val="false"/>
        </w:rPr>
        <w:t xml:space="preserve">O time Comercial tem autonomia para abrir até 5 exceções por mês; </w:t>
      </w:r>
      <w:r>
        <w:rPr>
          <w:b w:val="false"/>
          <w:bCs w:val="false"/>
          <w:i w:val="false"/>
          <w:iCs w:val="false"/>
        </w:rPr>
        <w:t xml:space="preserve">as demais negociações seguem as tabelas padrão de vendas e descontos.</w:t>
      </w:r>
    </w:p>
    <w:p>
      <w:pPr>
        <w:pStyle w:val="ListParagraph"/>
        <w:numPr>
          <w:ilvl w:val="0"/>
          <w:numId w:val="2"/>
        </w:numPr>
        <w:spacing w:after="80"/>
      </w:pPr>
      <w:r>
        <w:rPr>
          <w:b/>
          <w:bCs/>
          <w:i w:val="false"/>
          <w:iCs w:val="false"/>
        </w:rPr>
        <w:t xml:space="preserve">Cobrir valor de concorrente: </w:t>
      </w:r>
      <w:r>
        <w:rPr>
          <w:b w:val="false"/>
          <w:bCs w:val="false"/>
          <w:i w:val="false"/>
          <w:iCs w:val="false"/>
        </w:rPr>
        <w:t xml:space="preserve">cliente envia a proposta do concorrente com preço menor; se for concorrente padrão reconhecido, desconto autorizado até o limite da Tabela Revenda.</w:t>
      </w:r>
    </w:p>
    <w:p>
      <w:pPr>
        <w:pStyle w:val="ListParagraph"/>
        <w:numPr>
          <w:ilvl w:val="0"/>
          <w:numId w:val="2"/>
        </w:numPr>
        <w:spacing w:after="80"/>
      </w:pPr>
      <w:r>
        <w:rPr>
          <w:b/>
          <w:bCs/>
          <w:i w:val="false"/>
          <w:iCs w:val="false"/>
        </w:rPr>
        <w:t xml:space="preserve">Faturamento direto: </w:t>
      </w:r>
      <w:r>
        <w:rPr>
          <w:b w:val="false"/>
          <w:bCs w:val="false"/>
          <w:i w:val="false"/>
          <w:iCs w:val="false"/>
        </w:rPr>
        <w:t xml:space="preserve">requer análise da Diretoria, bom Score e não ser a primeira compra do cliente.</w:t>
      </w:r>
    </w:p>
    <w:p>
      <w:pPr>
        <w:pStyle w:val="ListParagraph"/>
        <w:numPr>
          <w:ilvl w:val="0"/>
          <w:numId w:val="2"/>
        </w:numPr>
        <w:spacing w:after="80"/>
      </w:pPr>
      <w:r>
        <w:rPr>
          <w:b/>
          <w:bCs/>
          <w:i w:val="false"/>
          <w:iCs w:val="false"/>
        </w:rPr>
        <w:t xml:space="preserve">À vista: </w:t>
      </w:r>
      <w:r>
        <w:rPr>
          <w:b w:val="false"/>
          <w:bCs w:val="false"/>
          <w:i w:val="false"/>
          <w:iCs w:val="false"/>
        </w:rPr>
        <w:t xml:space="preserve">50% no pedido e saldo na maquininha no dia da instalação; pagamento total no dia é possível, mas antes do início do serviço.</w:t>
      </w:r>
    </w:p>
    <w:p>
      <w:pPr>
        <w:pStyle w:val="ListParagraph"/>
        <w:numPr>
          <w:ilvl w:val="0"/>
          <w:numId w:val="2"/>
        </w:numPr>
        <w:spacing w:after="80"/>
      </w:pPr>
      <w:r>
        <w:rPr>
          <w:b/>
          <w:bCs/>
          <w:i w:val="false"/>
          <w:iCs w:val="false"/>
        </w:rPr>
        <w:t xml:space="preserve">Escola da Prefeitura: </w:t>
      </w:r>
      <w:r>
        <w:rPr>
          <w:b w:val="false"/>
          <w:bCs w:val="false"/>
          <w:i w:val="false"/>
          <w:iCs w:val="false"/>
        </w:rPr>
        <w:t xml:space="preserve">pagamento no dia da instalação via Pix ou débito.</w:t>
      </w:r>
    </w:p>
    <w:p>
      <w:pPr>
        <w:pStyle w:val="ListParagraph"/>
        <w:numPr>
          <w:ilvl w:val="0"/>
          <w:numId w:val="2"/>
        </w:numPr>
        <w:spacing w:after="80"/>
      </w:pPr>
      <w:r>
        <w:rPr>
          <w:b/>
          <w:bCs/>
          <w:i w:val="false"/>
          <w:iCs w:val="false"/>
        </w:rPr>
        <w:t xml:space="preserve">Prazos de entrega: </w:t>
      </w:r>
      <w:r>
        <w:rPr>
          <w:b w:val="false"/>
          <w:bCs w:val="false"/>
          <w:i w:val="false"/>
          <w:iCs w:val="false"/>
        </w:rPr>
        <w:t xml:space="preserve">retirada (fibrilada 10/12/20mm — pronta entrega, conferir antes; especiais — 5 a 7 dias); com entrega — 5 a 7 dias úteis; com instalação — 5 a 7 dias úteis (exceção possível se houver vaga na agenda); com transportadora — somar prazo de despacho ao da transportadora.</w:t>
      </w:r>
    </w:p>
    <w:p>
      <w:pPr>
        <w:pStyle w:val="Heading2"/>
        <w:spacing w:after="120" w:before="280"/>
      </w:pPr>
      <w:r>
        <w:t xml:space="preserve">4.5 Fechamento de Pedidos</w:t>
      </w:r>
    </w:p>
    <w:p>
      <w:pPr>
        <w:spacing w:after="140"/>
      </w:pPr>
      <w:r>
        <w:t xml:space="preserve">Após aprovação do cliente, a proposta é convertida em pedido de vendas no ERP ("mais ações" → "gerar venda"). Checklist: forma de pagamento, data de pagamento da entrada, número de cotação da transportadora, contrato, tipo de entrega e particularidades da venda.</w:t>
      </w:r>
    </w:p>
    <w:p>
      <w:pPr>
        <w:spacing w:after="140"/>
      </w:pPr>
      <w:r>
        <w:t xml:space="preserve">Passo a passo no ERP: revisar dados do cliente (CNPJ/CPF, nome, endereço/CEP, endereço de entrega se diferente); revisar itens e valores; preencher desconto em "Detalhes da venda"; revisar/ajustar datas e forma de pagamento de cada parcela; definir forma de envio (Transportadora / Entrega própria / Cliente retira); em "Dados adicionais", colar o contrato correspondente e ajustar campos em amarelo; salvar, exportar em PDF e enviar ao cliente.</w:t>
      </w:r>
    </w:p>
    <w:p>
      <w:pPr>
        <w:spacing w:after="140"/>
      </w:pPr>
      <w:r>
        <w:rPr>
          <w:b/>
          <w:bCs/>
          <w:i w:val="false"/>
          <w:iCs w:val="false"/>
        </w:rPr>
        <w:t xml:space="preserve">Fluxo por forma de pagamento:</w:t>
      </w:r>
    </w:p>
    <w:p>
      <w:pPr>
        <w:pStyle w:val="ListParagraph"/>
        <w:numPr>
          <w:ilvl w:val="0"/>
          <w:numId w:val="2"/>
        </w:numPr>
        <w:spacing w:after="80"/>
      </w:pPr>
      <w:r>
        <w:rPr>
          <w:b/>
          <w:bCs/>
          <w:i w:val="false"/>
          <w:iCs w:val="false"/>
        </w:rPr>
        <w:t xml:space="preserve">Boleto: </w:t>
      </w:r>
      <w:r>
        <w:rPr>
          <w:b w:val="false"/>
          <w:bCs w:val="false"/>
          <w:i w:val="false"/>
          <w:iCs w:val="false"/>
        </w:rPr>
        <w:t xml:space="preserve">coletar dados da empresa, tel. fixo, e-mail e WhatsApp do responsável → consultar o CNPJ no CENPROT → enviar o pedido para assinatura eletrônica → após assinado, repassar ao Financeiro → enviar ao multiempresas Tiny da MYDAS → incluir o Financeiro na conversa/cópia.</w:t>
      </w:r>
    </w:p>
    <w:p>
      <w:pPr>
        <w:pStyle w:val="ListParagraph"/>
        <w:numPr>
          <w:ilvl w:val="0"/>
          <w:numId w:val="2"/>
        </w:numPr>
        <w:spacing w:after="80"/>
      </w:pPr>
      <w:r>
        <w:rPr>
          <w:b/>
          <w:bCs/>
          <w:i w:val="false"/>
          <w:iCs w:val="false"/>
        </w:rPr>
        <w:t xml:space="preserve">Cartão: </w:t>
      </w:r>
      <w:r>
        <w:rPr>
          <w:b w:val="false"/>
          <w:bCs w:val="false"/>
          <w:i w:val="false"/>
          <w:iCs w:val="false"/>
        </w:rPr>
        <w:t xml:space="preserve">solicitar ao Financeiro a criação do link após emissão do pedido → enviar ao cliente com o contrato para assinatura → só após o pagamento repassar ao Financeiro → enviar ao multiempresas MYDAS.</w:t>
      </w:r>
    </w:p>
    <w:p>
      <w:pPr>
        <w:pStyle w:val="ListParagraph"/>
        <w:numPr>
          <w:ilvl w:val="0"/>
          <w:numId w:val="2"/>
        </w:numPr>
        <w:spacing w:after="80"/>
      </w:pPr>
      <w:r>
        <w:rPr>
          <w:b/>
          <w:bCs/>
          <w:i w:val="false"/>
          <w:iCs w:val="false"/>
        </w:rPr>
        <w:t xml:space="preserve">À vista: </w:t>
      </w:r>
      <w:r>
        <w:rPr>
          <w:b w:val="false"/>
          <w:bCs w:val="false"/>
          <w:i w:val="false"/>
          <w:iCs w:val="false"/>
        </w:rPr>
        <w:t xml:space="preserve">enviar dados de Pix junto com o pedido para assinatura → solicitar comprovante → só após comprovante e contrato assinado, liberar ao Financeiro (registrar no "Pink") e enviar ao multiempresas MYDAS.</w:t>
      </w:r>
    </w:p>
    <w:p>
      <w:pPr>
        <w:spacing w:after="140"/>
      </w:pPr>
      <w:r>
        <w:rPr>
          <w:b/>
          <w:bCs/>
          <w:i w:val="false"/>
          <w:iCs w:val="false"/>
        </w:rPr>
        <w:t xml:space="preserve">Agendamento de visitas: </w:t>
      </w:r>
      <w:r>
        <w:rPr>
          <w:b w:val="false"/>
          <w:bCs w:val="false"/>
          <w:i w:val="false"/>
          <w:iCs w:val="false"/>
        </w:rPr>
        <w:t xml:space="preserve">a Primegramas realiza visitas técnicas no local para análise e apresentação de amostras.</w:t>
      </w:r>
    </w:p>
    <w:p>
      <w:pPr>
        <w:pStyle w:val="Heading1"/>
        <w:spacing w:after="160" w:before="200"/>
      </w:pPr>
      <w:r>
        <w:t xml:space="preserve">5. OKRs Atuais</w:t>
      </w:r>
    </w:p>
    <w:p>
      <w:pPr>
        <w:spacing w:after="140"/>
      </w:pPr>
      <w:r>
        <w:rPr>
          <w:b/>
          <w:bCs/>
          <w:i w:val="false"/>
          <w:iCs w:val="false"/>
        </w:rPr>
        <w:t xml:space="preserve">Objetivo 1 — Preparar a fundação: </w:t>
      </w:r>
      <w:r>
        <w:rPr>
          <w:b w:val="false"/>
          <w:bCs w:val="false"/>
          <w:i w:val="false"/>
          <w:iCs w:val="false"/>
        </w:rPr>
        <w:t xml:space="preserve">implementar pesquisa sobre churn de clientes; selecionar ferramenta de registro de leads; organizar estrutura de relatórios.</w:t>
      </w:r>
    </w:p>
    <w:p>
      <w:pPr>
        <w:spacing w:after="140"/>
      </w:pPr>
      <w:r>
        <w:rPr>
          <w:b/>
          <w:bCs/>
          <w:i w:val="false"/>
          <w:iCs w:val="false"/>
        </w:rPr>
        <w:t xml:space="preserve">Objetivo 2 — Fechar negócios com PMEs: </w:t>
      </w:r>
      <w:r>
        <w:rPr>
          <w:b w:val="false"/>
          <w:bCs w:val="false"/>
          <w:i w:val="false"/>
          <w:iCs w:val="false"/>
        </w:rPr>
        <w:t xml:space="preserve">fechar com 10 PMEs (40–60% novas empresas, 4 negócios acima de R$ 50 mil); documentar e compartilhar aprendizados semanalmente nas reuniões de segunda-feira.</w:t>
      </w:r>
    </w:p>
    <w:p>
      <w:pPr>
        <w:spacing w:after="140"/>
      </w:pPr>
      <w:r>
        <w:rPr>
          <w:b/>
          <w:bCs/>
          <w:i w:val="false"/>
          <w:iCs w:val="false"/>
        </w:rPr>
        <w:t xml:space="preserve">Objetivo 3 — Aprender com os clientes: </w:t>
      </w:r>
      <w:r>
        <w:rPr>
          <w:b w:val="false"/>
          <w:bCs w:val="false"/>
          <w:i w:val="false"/>
          <w:iCs w:val="false"/>
        </w:rPr>
        <w:t xml:space="preserve">ligações com 5 clientes atuais por semana; compartilhar insights no Slack; reuniões bimensais com produto para feedback sobre o roadmap.</w:t>
      </w:r>
    </w:p>
    <w:p>
      <w:pPr>
        <w:pStyle w:val="Heading1"/>
        <w:spacing w:after="160" w:before="200"/>
      </w:pPr>
      <w:r>
        <w:t xml:space="preserve">6. Compensação da Equipe Comercial</w:t>
      </w:r>
    </w:p>
    <w:p>
      <w:pPr>
        <w:spacing w:after="140"/>
      </w:pPr>
      <w:r>
        <w:t xml:space="preserve">A Wiki reserva seções para "Comissão" e "Bônus por Meta Trimestral", mas ambas ainda não foram preenchidas com regras concretas até o momento desta coleta.</w:t>
      </w:r>
    </w:p>
    <w:p>
      <w:pPr>
        <w:pStyle w:val="Heading1"/>
        <w:spacing w:after="160" w:before="200"/>
      </w:pPr>
      <w:r>
        <w:t xml:space="preserve">7. Pitches e Materiais de Apoio</w:t>
      </w:r>
    </w:p>
    <w:p>
      <w:pPr>
        <w:spacing w:after="140"/>
      </w:pPr>
      <w:r>
        <w:t xml:space="preserve">Diretrizes de pitch: proposta de valor clara nos primeiros 5 slides; uso de infográficos; público-alvo definido como clientes de pequenas empresas; slides de precificação nos anexos.</w:t>
      </w:r>
    </w:p>
    <w:p>
      <w:pPr>
        <w:spacing w:after="140"/>
      </w:pPr>
      <w:r>
        <w:t xml:space="preserve">Materiais disponíveis (Google Drive): Apresentação institucional em PDF; Catálogo de produtos em PDF; fichas técnicas por tipo de grama (linha decorativa e esportiva); imagens de linha decorativa, linha esportiva e contrapiso; referências de clientes por segmento — Condomínios, Escolas, Construtoras e Engenharias, Clientes Corporativos, Clubes.</w:t>
      </w:r>
    </w:p>
    <w:p>
      <w:pPr>
        <w:pStyle w:val="Heading1"/>
        <w:spacing w:after="160" w:before="200"/>
      </w:pPr>
      <w:r>
        <w:t xml:space="preserve">8. Concorrentes</w:t>
      </w:r>
    </w:p>
    <w:p>
      <w:pPr>
        <w:spacing w:after="140"/>
      </w:pPr>
      <w:r>
        <w:t xml:space="preserve">A Wiki mantém um banco de dados de Concorrentes com os campos: Concorrente (nome), Tipo (Novo no Mercado / Concorrente Indireto / Concorrente Direto / Revisando / Rejeitada), Site, Descrição da proposta, Valor proposto e Data da pesquisa. No momento da coleta, o banco estava sem registros preenchidos — consultar a Wiki diretamente para dados atualizados de concorrência.</w:t>
      </w:r>
    </w:p>
    <w:p>
      <w:pPr>
        <w:pStyle w:val="Heading1"/>
        <w:spacing w:after="160" w:before="200"/>
      </w:pPr>
      <w:r>
        <w:t xml:space="preserve">9. Lacunas Conhecidas na Documentação</w:t>
      </w:r>
    </w:p>
    <w:p>
      <w:pPr>
        <w:pStyle w:val="ListParagraph"/>
        <w:numPr>
          <w:ilvl w:val="0"/>
          <w:numId w:val="2"/>
        </w:numPr>
        <w:spacing w:after="80"/>
      </w:pPr>
      <w:r>
        <w:rPr>
          <w:b/>
          <w:bCs/>
          <w:i w:val="false"/>
          <w:iCs w:val="false"/>
        </w:rPr>
        <w:t xml:space="preserve">Personas de clientes: </w:t>
      </w:r>
      <w:r>
        <w:rPr>
          <w:b w:val="false"/>
          <w:bCs w:val="false"/>
          <w:i w:val="false"/>
          <w:iCs w:val="false"/>
        </w:rPr>
        <w:t xml:space="preserve">a Wiki lista perguntas-guia (tipos de cliente, onde são encontrados, comprador vs. usuário, como decidem, principais argumentos) sem respostas preenchidas.</w:t>
      </w:r>
    </w:p>
    <w:p>
      <w:pPr>
        <w:pStyle w:val="ListParagraph"/>
        <w:numPr>
          <w:ilvl w:val="0"/>
          <w:numId w:val="2"/>
        </w:numPr>
        <w:spacing w:after="80"/>
      </w:pPr>
      <w:r>
        <w:rPr>
          <w:b/>
          <w:bCs/>
          <w:i w:val="false"/>
          <w:iCs w:val="false"/>
        </w:rPr>
        <w:t xml:space="preserve">Comissão e bônus: </w:t>
      </w:r>
      <w:r>
        <w:rPr>
          <w:b w:val="false"/>
          <w:bCs w:val="false"/>
          <w:i w:val="false"/>
          <w:iCs w:val="false"/>
        </w:rPr>
        <w:t xml:space="preserve">estrutura de compensação ainda não documentada.</w:t>
      </w:r>
    </w:p>
    <w:p>
      <w:pPr>
        <w:pStyle w:val="ListParagraph"/>
        <w:numPr>
          <w:ilvl w:val="0"/>
          <w:numId w:val="2"/>
        </w:numPr>
        <w:spacing w:after="80"/>
      </w:pPr>
      <w:r>
        <w:rPr>
          <w:b/>
          <w:bCs/>
          <w:i w:val="false"/>
          <w:iCs w:val="false"/>
        </w:rPr>
        <w:t xml:space="preserve">Banco de concorrentes: </w:t>
      </w:r>
      <w:r>
        <w:rPr>
          <w:b w:val="false"/>
          <w:bCs w:val="false"/>
          <w:i w:val="false"/>
          <w:iCs w:val="false"/>
        </w:rPr>
        <w:t xml:space="preserve">estrutura pronta, sem registros no momento da coleta.</w:t>
      </w:r>
    </w:p>
    <w:p>
      <w:pPr>
        <w:pStyle w:val="ListParagraph"/>
        <w:numPr>
          <w:ilvl w:val="0"/>
          <w:numId w:val="2"/>
        </w:numPr>
        <w:spacing w:after="80"/>
      </w:pPr>
      <w:r>
        <w:rPr>
          <w:b/>
          <w:bCs/>
          <w:i w:val="false"/>
          <w:iCs w:val="false"/>
        </w:rPr>
        <w:t xml:space="preserve">Pitch deck: </w:t>
      </w:r>
      <w:r>
        <w:rPr>
          <w:b w:val="false"/>
          <w:bCs w:val="false"/>
          <w:i w:val="false"/>
          <w:iCs w:val="false"/>
        </w:rPr>
        <w:t xml:space="preserve">central de pitches existe na Wiki, mas sem apresentação vinculada nem gravações anexadas.</w:t>
      </w:r>
    </w:p>
    <w:p>
      <w:pPr>
        <w:pStyle w:val="Heading1"/>
        <w:spacing w:after="160" w:before="200"/>
      </w:pPr>
      <w:r>
        <w:t xml:space="preserve">10. Fonte</w:t>
      </w:r>
    </w:p>
    <w:p>
      <w:pPr>
        <w:spacing w:after="140"/>
      </w:pPr>
      <w:r>
        <w:t xml:space="preserve">Conteúdo extraído da Wiki de Vendas da Primegramas no Notion (página "Wiki de vendas" e subpáginas: Manuais, Produtos, Processo, Personas, Arquivo, Materiais adicionais, OKRs, Pitches, Concorrentes). Consulta realizada em 31/08/2026. Recomenda-se revalidar periodicamente contra a fonte original no Notion, já que processos comerciais e preços podem ser atualizados com frequência.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2026-08-31T12:23:28.360Z</dcterms:created>
  <dcterms:modified xsi:type="dcterms:W3CDTF">2026-08-31T12:23:28.376Z</dcterms:modified>
</cp:coreProperties>
</file>

<file path=docProps/custom.xml><?xml version="1.0" encoding="utf-8"?>
<Properties xmlns="http://schemas.openxmlformats.org/officeDocument/2006/custom-properties" xmlns:vt="http://schemas.openxmlformats.org/officeDocument/2006/docPropsVTypes"/>
</file>