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Supplementary materials for</w:t>
      </w:r>
      <w:r>
        <w:br/>
      </w:r>
      <w:r>
        <w:t xml:space="preserve">Greening while Governing the Economy: Do Green Central Banks Matter?</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0" w:name="materials"/>
    <w:p>
      <w:pPr>
        <w:pStyle w:val="Heading2"/>
      </w:pPr>
      <w:r>
        <w:t xml:space="preserve">1 Materials</w:t>
      </w:r>
    </w:p>
    <w:bookmarkStart w:id="12" w:name="X47a12acf2815670d16c8e779dd4c805c13020d6"/>
    <w:p>
      <w:pPr>
        <w:pStyle w:val="Heading3"/>
      </w:pPr>
      <w:r>
        <w:t xml:space="preserve">1.1 Dependent Variable: Greenhouse Gas Emissions</w:t>
      </w:r>
    </w:p>
    <w:p>
      <w:pPr>
        <w:pStyle w:val="FirstParagraph"/>
      </w:pPr>
      <w:r>
        <w:t xml:space="preserve">My dependent variable consists of greenhouse gas (GHG) emissions. The data have been collected from the Emissions Database for Global Atmospheric Research (EDGAR) developed by the European Commission’s Joint Research Centre</w:t>
      </w:r>
      <w:r>
        <w:t xml:space="preserve"> </w:t>
      </w:r>
      <w:r>
        <w:t xml:space="preserve">(</w:t>
      </w:r>
      <w:r>
        <w:rPr>
          <w:i/>
          <w:iCs/>
        </w:rPr>
        <w:t xml:space="preserve">1</w:t>
      </w:r>
      <w:r>
        <w:t xml:space="preserve">)</w:t>
      </w:r>
      <w:r>
        <w:t xml:space="preserve">. The dataset is publicly available (</w:t>
      </w:r>
      <w:hyperlink r:id="rId9">
        <w:r>
          <w:rPr>
            <w:rStyle w:val="Hyperlink"/>
          </w:rPr>
          <w:t xml:space="preserve">https://edgar.jrc.ec.europa.eu/dataset_ghg2025</w:t>
        </w:r>
      </w:hyperlink>
      <w:r>
        <w:t xml:space="preserve">) and has been widely used</w:t>
      </w:r>
      <w:r>
        <w:t xml:space="preserve"> </w:t>
      </w:r>
      <w:r>
        <w:t xml:space="preserve">(e.g.,</w:t>
      </w:r>
      <w:r>
        <w:t xml:space="preserve"> </w:t>
      </w:r>
      <w:r>
        <w:rPr>
          <w:i/>
          <w:iCs/>
        </w:rPr>
        <w:t xml:space="preserve">2</w:t>
      </w:r>
      <w:r>
        <w:t xml:space="preserve">,</w:t>
      </w:r>
      <w:r>
        <w:t xml:space="preserve"> </w:t>
      </w:r>
      <w:r>
        <w:rPr>
          <w:i/>
          <w:iCs/>
        </w:rPr>
        <w:t xml:space="preserve">3</w:t>
      </w:r>
      <w:r>
        <w:t xml:space="preserve">)</w:t>
      </w:r>
      <w:r>
        <w:t xml:space="preserve">. EDGAR has separate estimates for countries’ total carbon dioxide (</w:t>
      </w:r>
      <m:oMath>
        <m:sSub>
          <m:e>
            <m:r>
              <m:rPr>
                <m:nor/>
                <m:sty m:val="p"/>
              </m:rPr>
              <m:t>CO</m:t>
            </m:r>
          </m:e>
          <m:sub>
            <m:r>
              <m:t>2</m:t>
            </m:r>
          </m:sub>
        </m:sSub>
      </m:oMath>
      <w:r>
        <w:t xml:space="preserve">), methane (</w:t>
      </w:r>
      <m:oMath>
        <m:sSub>
          <m:e>
            <m:r>
              <m:rPr>
                <m:nor/>
                <m:sty m:val="p"/>
              </m:rPr>
              <m:t>CH</m:t>
            </m:r>
          </m:e>
          <m:sub>
            <m:r>
              <m:t>4</m:t>
            </m:r>
          </m:sub>
        </m:sSub>
      </m:oMath>
      <w:r>
        <w:t xml:space="preserve">), nitrous oxide (</w:t>
      </w:r>
      <m:oMath>
        <m:sSub>
          <m:e>
            <m:r>
              <m:rPr>
                <m:nor/>
                <m:sty m:val="p"/>
              </m:rPr>
              <m:t>N</m:t>
            </m:r>
          </m:e>
          <m:sub>
            <m:r>
              <m:t>2</m:t>
            </m:r>
          </m:sub>
        </m:sSub>
        <m:r>
          <m:rPr>
            <m:nor/>
            <m:sty m:val="p"/>
          </m:rPr>
          <m:t>O</m:t>
        </m:r>
      </m:oMath>
      <w:r>
        <w:t xml:space="preserve">), and fluorinated gases, as well as total GHG emissions measured in millions of</w:t>
      </w:r>
      <w:r>
        <w:t xml:space="preserve"> </w:t>
      </w:r>
      <m:oMath>
        <m:sSub>
          <m:e>
            <m:r>
              <m:rPr>
                <m:nor/>
                <m:sty m:val="p"/>
              </m:rPr>
              <m:t>CO</m:t>
            </m:r>
          </m:e>
          <m:sub>
            <m:r>
              <m:t>2</m:t>
            </m:r>
          </m:sub>
        </m:sSub>
      </m:oMath>
      <w:r>
        <w:t xml:space="preserve"> </w:t>
      </w:r>
      <w:r>
        <w:t xml:space="preserve">equivalent, which is the one I use in this article. From the original spreadsheets downloaded from EDGAR, I extracted the total GHG emissions data for the years 2015 to 2021.</w:t>
      </w:r>
    </w:p>
    <w:p>
      <w:pPr>
        <w:pStyle w:val="BodyText"/>
      </w:pPr>
      <w:r>
        <w:t xml:space="preserve">EDGAR details its methodology to calculate emissions here:</w:t>
      </w:r>
      <w:r>
        <w:t xml:space="preserve"> </w:t>
      </w:r>
      <w:hyperlink r:id="rId10">
        <w:r>
          <w:rPr>
            <w:rStyle w:val="Hyperlink"/>
          </w:rPr>
          <w:t xml:space="preserve">https://edgar.jrc.ec.europa.eu/methodology</w:t>
        </w:r>
      </w:hyperlink>
      <w:r>
        <w:t xml:space="preserve">. Specifically, EDGAR quantifies global anthropogenic emissions by applying a consistent estimation framework across all countries and economic sectors by year. This approach ensures a highly comparable data baseline across heterogeneous regulatory regimes and distinct gas categories. Only two countries needed to be excluded from the assessment due to missing data on the dependent variable: Marshall Islands and Northern Mariana Islands.</w:t>
      </w:r>
    </w:p>
    <w:p>
      <w:pPr>
        <w:pStyle w:val="BodyText"/>
      </w:pPr>
      <w:r>
        <w:t xml:space="preserve">Given the skewed distribution of GHG emissions across countries and years, I transformed this variable to a logarithmic format. Additionally, I normalized GHG emissions by the log of countries’ total population to obtain a measure of emissions per capita. And I normalized GHG emissions by the log of gross domestic product (GDP) per capita (PC) to account for economic and consumption differences across countries. The normalization process involves taking the logarithm of the ratio of GHG emissions to the population or GDP PC. This is expressed mathematically as:</w:t>
      </w:r>
    </w:p>
    <w:p>
      <w:pPr>
        <w:pStyle w:val="BodyText"/>
      </w:pPr>
      <w:bookmarkStart w:id="11" w:name="eq-normalization"/>
      <m:oMathPara>
        <m:oMathParaPr>
          <m:jc m:val="center"/>
        </m:oMathParaPr>
        <m:oMath>
          <m:sSub>
            <m:e>
              <m:r>
                <m:t>Y</m:t>
              </m:r>
            </m:e>
            <m:sub>
              <m:r>
                <m:t>i</m:t>
              </m:r>
              <m:r>
                <m:rPr>
                  <m:sty m:val="p"/>
                </m:rPr>
                <m:t>,</m:t>
              </m:r>
              <m:r>
                <m:t>t</m:t>
              </m:r>
            </m:sub>
          </m:sSub>
          <m:r>
            <m:rPr>
              <m:sty m:val="p"/>
            </m:rPr>
            <m:t>=</m:t>
          </m:r>
          <m:r>
            <m:rPr>
              <m:sty m:val="p"/>
            </m:rPr>
            <m:t>log</m:t>
          </m:r>
          <m:r>
            <m:rPr>
              <m:sty m:val="p"/>
            </m:rPr>
            <m:t>(</m:t>
          </m:r>
          <m:sSub>
            <m:e>
              <m:r>
                <m:t>E</m:t>
              </m:r>
            </m:e>
            <m:sub>
              <m:r>
                <m:t>i</m:t>
              </m:r>
              <m:r>
                <m:rPr>
                  <m:sty m:val="p"/>
                </m:rPr>
                <m:t>,</m:t>
              </m:r>
              <m:r>
                <m:t>t</m:t>
              </m:r>
            </m:sub>
          </m:sSub>
          <m:r>
            <m:rPr>
              <m:sty m:val="p"/>
            </m:rPr>
            <m:t>)</m:t>
          </m:r>
          <m:r>
            <m:rPr>
              <m:sty m:val="p"/>
            </m:rPr>
            <m:t>−</m:t>
          </m:r>
          <m:r>
            <m:rPr>
              <m:sty m:val="p"/>
            </m:rPr>
            <m:t>log</m:t>
          </m:r>
          <m:r>
            <m:rPr>
              <m:sty m:val="p"/>
            </m:rPr>
            <m:t>(</m:t>
          </m:r>
          <m:sSub>
            <m:e>
              <m:r>
                <m:t>X</m:t>
              </m:r>
            </m:e>
            <m:sub>
              <m:r>
                <m:t>i</m:t>
              </m:r>
              <m:r>
                <m:rPr>
                  <m:sty m:val="p"/>
                </m:rPr>
                <m:t>,</m:t>
              </m:r>
              <m:r>
                <m:t>t</m:t>
              </m:r>
            </m:sub>
          </m:sSub>
          <m:r>
            <m:rPr>
              <m:sty m:val="p"/>
            </m:rPr>
            <m:t>)</m:t>
          </m:r>
          <m:r>
            <m:t>  </m:t>
          </m:r>
          <m:r>
            <m:rPr>
              <m:sty m:val="p"/>
            </m:rPr>
            <m:t>(</m:t>
          </m:r>
          <m:r>
            <m:t>1</m:t>
          </m:r>
          <m:r>
            <m:rPr>
              <m:sty m:val="p"/>
            </m:rPr>
            <m:t>)</m:t>
          </m:r>
        </m:oMath>
      </m:oMathPara>
      <w:bookmarkEnd w:id="11"/>
    </w:p>
    <w:p>
      <w:pPr>
        <w:pStyle w:val="FirstParagraph"/>
      </w:pPr>
      <w:r>
        <w:t xml:space="preserve">where</w:t>
      </w:r>
      <w:r>
        <w:t xml:space="preserve"> </w:t>
      </w:r>
      <m:oMath>
        <m:sSub>
          <m:e>
            <m:r>
              <m:t>Y</m:t>
            </m:r>
          </m:e>
          <m:sub>
            <m:r>
              <m:t>i</m:t>
            </m:r>
            <m:r>
              <m:rPr>
                <m:sty m:val="p"/>
              </m:rPr>
              <m:t>,</m:t>
            </m:r>
            <m:r>
              <m:t>t</m:t>
            </m:r>
          </m:sub>
        </m:sSub>
      </m:oMath>
      <w:r>
        <w:t xml:space="preserve"> </w:t>
      </w:r>
      <w:r>
        <w:t xml:space="preserve">is the transformed dependent variable for country</w:t>
      </w:r>
      <w:r>
        <w:t xml:space="preserve"> </w:t>
      </w:r>
      <m:oMath>
        <m:r>
          <m:t>i</m:t>
        </m:r>
      </m:oMath>
      <w:r>
        <w:t xml:space="preserve"> </w:t>
      </w:r>
      <w:r>
        <w:t xml:space="preserve">in year</w:t>
      </w:r>
      <w:r>
        <w:t xml:space="preserve"> </w:t>
      </w:r>
      <m:oMath>
        <m:r>
          <m:t>t</m:t>
        </m:r>
      </m:oMath>
      <w:r>
        <w:t xml:space="preserve">.</w:t>
      </w:r>
      <w:r>
        <w:t xml:space="preserve"> </w:t>
      </w:r>
      <m:oMath>
        <m:sSub>
          <m:e>
            <m:r>
              <m:t>E</m:t>
            </m:r>
          </m:e>
          <m:sub>
            <m:r>
              <m:t>i</m:t>
            </m:r>
            <m:r>
              <m:rPr>
                <m:sty m:val="p"/>
              </m:rPr>
              <m:t>,</m:t>
            </m:r>
            <m:r>
              <m:t>t</m:t>
            </m:r>
          </m:sub>
        </m:sSub>
      </m:oMath>
      <w:r>
        <w:t xml:space="preserve"> </w:t>
      </w:r>
      <w:r>
        <w:t xml:space="preserve">is the log of GHG emissions.</w:t>
      </w:r>
      <w:r>
        <w:t xml:space="preserve"> </w:t>
      </w:r>
      <m:oMath>
        <m:sSub>
          <m:e>
            <m:r>
              <m:t>X</m:t>
            </m:r>
          </m:e>
          <m:sub>
            <m:r>
              <m:t>i</m:t>
            </m:r>
            <m:r>
              <m:rPr>
                <m:sty m:val="p"/>
              </m:rPr>
              <m:t>,</m:t>
            </m:r>
            <m:r>
              <m:t>t</m:t>
            </m:r>
          </m:sub>
        </m:sSub>
      </m:oMath>
      <w:r>
        <w:t xml:space="preserve"> </w:t>
      </w:r>
      <w:r>
        <w:t xml:space="preserve">is the normalization variable in its log-transformed version, either population or GDP per capita. I explain from which repositories the other variables have been collected and how I have built a merged dataset below.</w:t>
      </w:r>
    </w:p>
    <w:bookmarkEnd w:id="12"/>
    <w:bookmarkStart w:id="19" w:name="independent-and-control-variables"/>
    <w:p>
      <w:pPr>
        <w:pStyle w:val="Heading3"/>
      </w:pPr>
      <w:r>
        <w:t xml:space="preserve">1.2 Independent and Control Variables</w:t>
      </w:r>
    </w:p>
    <w:bookmarkStart w:id="15" w:name="ngfs"/>
    <w:p>
      <w:pPr>
        <w:pStyle w:val="Heading4"/>
      </w:pPr>
      <w:r>
        <w:t xml:space="preserve">1.2.1 NGFS</w:t>
      </w:r>
    </w:p>
    <w:p>
      <w:pPr>
        <w:pStyle w:val="FirstParagraph"/>
      </w:pPr>
      <w:r>
        <w:t xml:space="preserve">My main independent variable is membership in the Network for Greening the Financial System (NGFS), which serves as a treatment indicator of financial regulators’ commitment to incorporate climate risks into financial supervision. The NGFS maintains their membership directory updated and publicly available here:</w:t>
      </w:r>
      <w:r>
        <w:t xml:space="preserve"> </w:t>
      </w:r>
      <w:hyperlink r:id="rId13">
        <w:r>
          <w:rPr>
            <w:rStyle w:val="Hyperlink"/>
          </w:rPr>
          <w:t xml:space="preserve">https://www.ngfs.net/en/about-us/membership</w:t>
        </w:r>
      </w:hyperlink>
      <w:r>
        <w:t xml:space="preserve">. However, the NGFS does not specify the year in which financial supervisors have become members or observers. In March 2024, I contacted the NGFS and obtained a spreadsheet containing the years in which each member and observer joined the network until then. (Since this is not available through the website above, the e-mail exchange and the original spreadsheet shared by the NGFS are available upon request for reviewers and editors.) Using this spreadsheet, I excluded observers and restricted the NGFS data to members only between 2015 and 2021.</w:t>
      </w:r>
    </w:p>
    <w:p>
      <w:pPr>
        <w:pStyle w:val="BodyText"/>
      </w:pPr>
      <w:r>
        <w:t xml:space="preserve">Subsequently, I identified each country where financial supervisors are located and recorded the year they joined the NGFS. This way, nations are not double counted. Abu Dhabi, Dubai, and the European Union (EU) were also removed from the data because Abu Dhabi and Dubai count as</w:t>
      </w:r>
      <w:r>
        <w:t xml:space="preserve"> </w:t>
      </w:r>
      <w:r>
        <w:t xml:space="preserve">“United Arab Emirates”</w:t>
      </w:r>
      <w:r>
        <w:t xml:space="preserve">, whereas several EU nations appeared independently in the dataset. As a result of these steps, I created a dummy variable indicating NGFS membership and assigned a value of 1 to countries in the year in which they became NGFS members and 0 to non-members. Thus, non-members include nations</w:t>
      </w:r>
      <w:r>
        <w:t xml:space="preserve"> </w:t>
      </w:r>
      <w:r>
        <w:rPr>
          <w:i/>
          <w:iCs/>
        </w:rPr>
        <w:t xml:space="preserve">before</w:t>
      </w:r>
      <w:r>
        <w:t xml:space="preserve"> </w:t>
      </w:r>
      <w:r>
        <w:t xml:space="preserve">they joined the NGFS and countries that never became members within the period analyzed. Consider, for example, how France has been coded in</w:t>
      </w:r>
      <w:r>
        <w:t xml:space="preserve"> </w:t>
      </w:r>
      <w:hyperlink w:anchor="tbl-france-ngfs">
        <w:r>
          <w:rPr>
            <w:rStyle w:val="Hyperlink"/>
          </w:rPr>
          <w:t xml:space="preserve">Table 1</w:t>
        </w:r>
      </w:hyperlink>
      <w:r>
        <w:t xml:space="preserve">, as the Banque de France helped create the NGFS in 2017</w:t>
      </w:r>
      <w:r>
        <w:t xml:space="preserve"> </w:t>
      </w:r>
      <w:r>
        <w:t xml:space="preserve">(</w:t>
      </w:r>
      <w:r>
        <w:rPr>
          <w:i/>
          <w:iCs/>
        </w:rPr>
        <w:t xml:space="preserve">4</w:t>
      </w:r>
      <w:r>
        <w:t xml:space="preserve">)</w:t>
      </w:r>
      <w:r>
        <w:t xml:space="preserve">.</w:t>
      </w:r>
    </w:p>
    <w:tbl>
      <w:tblPr>
        <w:tblStyle w:val="Table"/>
        <w:tblW w:type="pct" w:w="5000"/>
        <w:tblLayout w:type="fixed"/>
        <w:tblLook w:firstRow="0" w:lastRow="0" w:firstColumn="0" w:lastColumn="0" w:noHBand="0" w:noVBand="0" w:val="0000"/>
      </w:tblPr>
      <w:tblGrid>
        <w:gridCol w:w="7920"/>
      </w:tblGrid>
      <w:tr>
        <w:tc>
          <w:tcPr/>
          <w:bookmarkStart w:id="14" w:name="tbl-france-ngfs"/>
          <w:p>
            <w:pPr>
              <w:jc w:val="center"/>
            </w:pPr>
            <w:pPr>
              <w:jc w:val="left"/>
              <w:spacing w:before="200"/>
              <w:pStyle w:val="ImageCaption"/>
            </w:pPr>
            <w:r>
              <w:t xml:space="preserve">Table 1: Example of NGFS Membership Coding: France (2015–2021)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jc w:val="center"/>
                  </w:pPr>
                  <w:r>
                    <w:t xml:space="preserve">Country</w:t>
                  </w:r>
                </w:p>
              </w:tc>
              <w:tc>
                <w:tcPr/>
                <w:p>
                  <w:pPr>
                    <w:pStyle w:val="Compact"/>
                    <w:jc w:val="center"/>
                    <w:jc w:val="center"/>
                  </w:pPr>
                  <w:r>
                    <w:t xml:space="preserve">Year</w:t>
                  </w:r>
                </w:p>
              </w:tc>
              <w:tc>
                <w:tcPr/>
                <w:p>
                  <w:pPr>
                    <w:pStyle w:val="Compact"/>
                    <w:jc w:val="center"/>
                    <w:jc w:val="center"/>
                  </w:pPr>
                  <w:r>
                    <w:t xml:space="preserve">NGFS Member</w:t>
                  </w:r>
                </w:p>
              </w:tc>
            </w:tr>
            <w:tr>
              <w:tc>
                <w:tcPr/>
                <w:p>
                  <w:pPr>
                    <w:pStyle w:val="Compact"/>
                    <w:jc w:val="left"/>
                    <w:jc w:val="center"/>
                  </w:pPr>
                  <w:r>
                    <w:t xml:space="preserve">France</w:t>
                  </w:r>
                </w:p>
              </w:tc>
              <w:tc>
                <w:tcPr/>
                <w:p>
                  <w:pPr>
                    <w:pStyle w:val="Compact"/>
                    <w:jc w:val="center"/>
                    <w:jc w:val="center"/>
                  </w:pPr>
                  <w:r>
                    <w:t xml:space="preserve">2015</w:t>
                  </w:r>
                </w:p>
              </w:tc>
              <w:tc>
                <w:tcPr/>
                <w:p>
                  <w:pPr>
                    <w:pStyle w:val="Compact"/>
                    <w:jc w:val="center"/>
                    <w:jc w:val="center"/>
                  </w:pPr>
                  <w:r>
                    <w:t xml:space="preserve">0</w:t>
                  </w:r>
                </w:p>
              </w:tc>
            </w:tr>
            <w:tr>
              <w:tc>
                <w:tcPr/>
                <w:p>
                  <w:pPr>
                    <w:pStyle w:val="Compact"/>
                    <w:jc w:val="left"/>
                    <w:jc w:val="center"/>
                  </w:pPr>
                  <w:r>
                    <w:t xml:space="preserve">France</w:t>
                  </w:r>
                </w:p>
              </w:tc>
              <w:tc>
                <w:tcPr/>
                <w:p>
                  <w:pPr>
                    <w:pStyle w:val="Compact"/>
                    <w:jc w:val="center"/>
                    <w:jc w:val="center"/>
                  </w:pPr>
                  <w:r>
                    <w:t xml:space="preserve">2016</w:t>
                  </w:r>
                </w:p>
              </w:tc>
              <w:tc>
                <w:tcPr/>
                <w:p>
                  <w:pPr>
                    <w:pStyle w:val="Compact"/>
                    <w:jc w:val="center"/>
                    <w:jc w:val="center"/>
                  </w:pPr>
                  <w:r>
                    <w:t xml:space="preserve">0</w:t>
                  </w:r>
                </w:p>
              </w:tc>
            </w:tr>
            <w:tr>
              <w:tc>
                <w:tcPr/>
                <w:p>
                  <w:pPr>
                    <w:pStyle w:val="Compact"/>
                    <w:jc w:val="left"/>
                    <w:jc w:val="center"/>
                  </w:pPr>
                  <w:r>
                    <w:t xml:space="preserve">France</w:t>
                  </w:r>
                </w:p>
              </w:tc>
              <w:tc>
                <w:tcPr/>
                <w:p>
                  <w:pPr>
                    <w:pStyle w:val="Compact"/>
                    <w:jc w:val="center"/>
                    <w:jc w:val="center"/>
                  </w:pPr>
                  <w:r>
                    <w:t xml:space="preserve">2017</w:t>
                  </w:r>
                </w:p>
              </w:tc>
              <w:tc>
                <w:tcPr/>
                <w:p>
                  <w:pPr>
                    <w:pStyle w:val="Compact"/>
                    <w:jc w:val="center"/>
                    <w:jc w:val="center"/>
                  </w:pPr>
                  <w:r>
                    <w:t xml:space="preserve">1</w:t>
                  </w:r>
                </w:p>
              </w:tc>
            </w:tr>
            <w:tr>
              <w:tc>
                <w:tcPr/>
                <w:p>
                  <w:pPr>
                    <w:pStyle w:val="Compact"/>
                    <w:jc w:val="left"/>
                    <w:jc w:val="center"/>
                  </w:pPr>
                  <w:r>
                    <w:t xml:space="preserve">France</w:t>
                  </w:r>
                </w:p>
              </w:tc>
              <w:tc>
                <w:tcPr/>
                <w:p>
                  <w:pPr>
                    <w:pStyle w:val="Compact"/>
                    <w:jc w:val="center"/>
                    <w:jc w:val="center"/>
                  </w:pPr>
                  <w:r>
                    <w:t xml:space="preserve">2018</w:t>
                  </w:r>
                </w:p>
              </w:tc>
              <w:tc>
                <w:tcPr/>
                <w:p>
                  <w:pPr>
                    <w:pStyle w:val="Compact"/>
                    <w:jc w:val="center"/>
                    <w:jc w:val="center"/>
                  </w:pPr>
                  <w:r>
                    <w:t xml:space="preserve">1</w:t>
                  </w:r>
                </w:p>
              </w:tc>
            </w:tr>
            <w:tr>
              <w:tc>
                <w:tcPr/>
                <w:p>
                  <w:pPr>
                    <w:pStyle w:val="Compact"/>
                    <w:jc w:val="left"/>
                    <w:jc w:val="center"/>
                  </w:pPr>
                  <w:r>
                    <w:t xml:space="preserve">France</w:t>
                  </w:r>
                </w:p>
              </w:tc>
              <w:tc>
                <w:tcPr/>
                <w:p>
                  <w:pPr>
                    <w:pStyle w:val="Compact"/>
                    <w:jc w:val="center"/>
                    <w:jc w:val="center"/>
                  </w:pPr>
                  <w:r>
                    <w:t xml:space="preserve">2019</w:t>
                  </w:r>
                </w:p>
              </w:tc>
              <w:tc>
                <w:tcPr/>
                <w:p>
                  <w:pPr>
                    <w:pStyle w:val="Compact"/>
                    <w:jc w:val="center"/>
                    <w:jc w:val="center"/>
                  </w:pPr>
                  <w:r>
                    <w:t xml:space="preserve">1</w:t>
                  </w:r>
                </w:p>
              </w:tc>
            </w:tr>
            <w:tr>
              <w:tc>
                <w:tcPr/>
                <w:p>
                  <w:pPr>
                    <w:pStyle w:val="Compact"/>
                    <w:jc w:val="left"/>
                    <w:jc w:val="center"/>
                  </w:pPr>
                  <w:r>
                    <w:t xml:space="preserve">France</w:t>
                  </w:r>
                </w:p>
              </w:tc>
              <w:tc>
                <w:tcPr/>
                <w:p>
                  <w:pPr>
                    <w:pStyle w:val="Compact"/>
                    <w:jc w:val="center"/>
                    <w:jc w:val="center"/>
                  </w:pPr>
                  <w:r>
                    <w:t xml:space="preserve">2020</w:t>
                  </w:r>
                </w:p>
              </w:tc>
              <w:tc>
                <w:tcPr/>
                <w:p>
                  <w:pPr>
                    <w:pStyle w:val="Compact"/>
                    <w:jc w:val="center"/>
                    <w:jc w:val="center"/>
                  </w:pPr>
                  <w:r>
                    <w:t xml:space="preserve">1</w:t>
                  </w:r>
                </w:p>
              </w:tc>
            </w:tr>
            <w:tr>
              <w:tc>
                <w:tcPr/>
                <w:p>
                  <w:pPr>
                    <w:pStyle w:val="Compact"/>
                    <w:jc w:val="left"/>
                    <w:jc w:val="center"/>
                  </w:pPr>
                  <w:r>
                    <w:t xml:space="preserve">France</w:t>
                  </w:r>
                </w:p>
              </w:tc>
              <w:tc>
                <w:tcPr/>
                <w:p>
                  <w:pPr>
                    <w:pStyle w:val="Compact"/>
                    <w:jc w:val="center"/>
                    <w:jc w:val="center"/>
                  </w:pPr>
                  <w:r>
                    <w:t xml:space="preserve">2021</w:t>
                  </w:r>
                </w:p>
              </w:tc>
              <w:tc>
                <w:tcPr/>
                <w:p>
                  <w:pPr>
                    <w:pStyle w:val="Compact"/>
                    <w:jc w:val="center"/>
                    <w:jc w:val="center"/>
                  </w:pPr>
                  <w:r>
                    <w:t xml:space="preserve">1</w:t>
                  </w:r>
                </w:p>
              </w:tc>
            </w:tr>
          </w:tbl>
          <w:bookmarkEnd w:id="14"/>
          <w:p/>
        </w:tc>
      </w:tr>
    </w:tbl>
    <w:bookmarkEnd w:id="15"/>
    <w:bookmarkStart w:id="16" w:name="central-bank-independence-index"/>
    <w:p>
      <w:pPr>
        <w:pStyle w:val="Heading4"/>
      </w:pPr>
      <w:r>
        <w:t xml:space="preserve">1.2.2 Central Bank Independence Index</w:t>
      </w:r>
    </w:p>
    <w:bookmarkEnd w:id="16"/>
    <w:bookmarkStart w:id="17" w:name="world-bank"/>
    <w:p>
      <w:pPr>
        <w:pStyle w:val="Heading4"/>
      </w:pPr>
      <w:r>
        <w:t xml:space="preserve">1.2.3 World Bank</w:t>
      </w:r>
    </w:p>
    <w:bookmarkEnd w:id="17"/>
    <w:bookmarkStart w:id="18" w:name="vdem"/>
    <w:p>
      <w:pPr>
        <w:pStyle w:val="Heading4"/>
      </w:pPr>
      <w:r>
        <w:t xml:space="preserve">1.2.4 VDEM</w:t>
      </w:r>
    </w:p>
    <w:bookmarkEnd w:id="18"/>
    <w:bookmarkEnd w:id="19"/>
    <w:bookmarkEnd w:id="20"/>
    <w:bookmarkStart w:id="23" w:name="methodology"/>
    <w:p>
      <w:pPr>
        <w:pStyle w:val="Heading2"/>
      </w:pPr>
      <w:r>
        <w:t xml:space="preserve">2 Methodology</w:t>
      </w:r>
    </w:p>
    <w:bookmarkStart w:id="21" w:name="twfe"/>
    <w:p>
      <w:pPr>
        <w:pStyle w:val="Heading3"/>
      </w:pPr>
      <w:r>
        <w:t xml:space="preserve">2.1 TWFE</w:t>
      </w:r>
    </w:p>
    <w:bookmarkEnd w:id="21"/>
    <w:bookmarkStart w:id="22" w:name="did"/>
    <w:p>
      <w:pPr>
        <w:pStyle w:val="Heading3"/>
      </w:pPr>
      <w:r>
        <w:t xml:space="preserve">2.2 DID</w:t>
      </w:r>
    </w:p>
    <w:bookmarkEnd w:id="22"/>
    <w:bookmarkEnd w:id="23"/>
    <w:bookmarkStart w:id="24" w:name="descriptive-statistics"/>
    <w:p>
      <w:pPr>
        <w:pStyle w:val="Heading2"/>
      </w:pPr>
      <w:r>
        <w:t xml:space="preserve">3 Descriptive Statistics</w:t>
      </w:r>
    </w:p>
    <w:bookmarkEnd w:id="24"/>
    <w:bookmarkStart w:id="25" w:name="robustness-checks"/>
    <w:p>
      <w:pPr>
        <w:pStyle w:val="Heading2"/>
      </w:pPr>
      <w:r>
        <w:t xml:space="preserve">4 Robustness Checks</w:t>
      </w:r>
    </w:p>
    <w:p>
      <w:r>
        <w:br w:type="page"/>
      </w:r>
    </w:p>
    <w:bookmarkEnd w:id="25"/>
    <w:bookmarkStart w:id="35" w:name="references"/>
    <w:p>
      <w:pPr>
        <w:pStyle w:val="Heading2"/>
      </w:pPr>
      <w:r>
        <w:t xml:space="preserve">5 References</w:t>
      </w:r>
    </w:p>
    <w:bookmarkStart w:id="34" w:name="refs"/>
    <w:bookmarkStart w:id="27" w:name="ref-crippa2025"/>
    <w:p>
      <w:pPr>
        <w:pStyle w:val="Bibliography"/>
      </w:pPr>
      <w:r>
        <w:t xml:space="preserve">1.</w:t>
      </w:r>
      <w:r>
        <w:t xml:space="preserve"> </w:t>
      </w:r>
      <w:r>
        <w:t xml:space="preserve">	</w:t>
      </w:r>
      <w:r>
        <w:t xml:space="preserve">M. Crippa, D. Guizzardi, F. Pagani, M. Banja, M. Muntean,</w:t>
      </w:r>
      <w:r>
        <w:t xml:space="preserve"> </w:t>
      </w:r>
      <w:r>
        <w:t xml:space="preserve">“</w:t>
      </w:r>
      <w:r>
        <w:t xml:space="preserve">GHG Emissions</w:t>
      </w:r>
      <w:r>
        <w:t xml:space="preserve"> </w:t>
      </w:r>
      <w:r>
        <w:t xml:space="preserve">of</w:t>
      </w:r>
      <w:r>
        <w:t xml:space="preserve"> </w:t>
      </w:r>
      <w:r>
        <w:t xml:space="preserve">All World Countries</w:t>
      </w:r>
      <w:r>
        <w:t xml:space="preserve"> </w:t>
      </w:r>
      <w:r>
        <w:t xml:space="preserve">- 2025</w:t>
      </w:r>
      <w:r>
        <w:t xml:space="preserve"> </w:t>
      </w:r>
      <w:r>
        <w:t xml:space="preserve">Report</w:t>
      </w:r>
      <w:r>
        <w:t xml:space="preserve">”</w:t>
      </w:r>
      <w:r>
        <w:t xml:space="preserve"> </w:t>
      </w:r>
      <w:r>
        <w:t xml:space="preserve">(JRC143227, Publications Office of the European Union, Luxembourg, 2025);</w:t>
      </w:r>
      <w:r>
        <w:t xml:space="preserve"> </w:t>
      </w:r>
      <w:hyperlink r:id="rId26">
        <w:r>
          <w:rPr>
            <w:rStyle w:val="Hyperlink"/>
          </w:rPr>
          <w:t xml:space="preserve">https://doi.org/10.2760/9816914</w:t>
        </w:r>
      </w:hyperlink>
      <w:r>
        <w:t xml:space="preserve">.</w:t>
      </w:r>
    </w:p>
    <w:bookmarkEnd w:id="27"/>
    <w:bookmarkStart w:id="29" w:name="ref-kakenmaster2025"/>
    <w:p>
      <w:pPr>
        <w:pStyle w:val="Bibliography"/>
      </w:pPr>
      <w:r>
        <w:t xml:space="preserve">2.</w:t>
      </w:r>
      <w:r>
        <w:t xml:space="preserve"> </w:t>
      </w:r>
      <w:r>
        <w:t xml:space="preserve">	</w:t>
      </w:r>
      <w:r>
        <w:t xml:space="preserve">W. Kakenmaster,</w:t>
      </w:r>
      <w:r>
        <w:t xml:space="preserve"> </w:t>
      </w:r>
      <w:hyperlink r:id="rId28">
        <w:r>
          <w:rPr>
            <w:rStyle w:val="Hyperlink"/>
          </w:rPr>
          <w:t xml:space="preserve">The</w:t>
        </w:r>
        <w:r>
          <w:rPr>
            <w:rStyle w:val="Hyperlink"/>
          </w:rPr>
          <w:t xml:space="preserve"> </w:t>
        </w:r>
        <w:r>
          <w:rPr>
            <w:rStyle w:val="Hyperlink"/>
          </w:rPr>
          <w:t xml:space="preserve">Fossil-Fueled Roots</w:t>
        </w:r>
        <w:r>
          <w:rPr>
            <w:rStyle w:val="Hyperlink"/>
          </w:rPr>
          <w:t xml:space="preserve"> </w:t>
        </w:r>
        <w:r>
          <w:rPr>
            <w:rStyle w:val="Hyperlink"/>
          </w:rPr>
          <w:t xml:space="preserve">of</w:t>
        </w:r>
        <w:r>
          <w:rPr>
            <w:rStyle w:val="Hyperlink"/>
          </w:rPr>
          <w:t xml:space="preserve"> </w:t>
        </w:r>
        <w:r>
          <w:rPr>
            <w:rStyle w:val="Hyperlink"/>
          </w:rPr>
          <w:t xml:space="preserve">Climate Inaction</w:t>
        </w:r>
        <w:r>
          <w:rPr>
            <w:rStyle w:val="Hyperlink"/>
          </w:rPr>
          <w:t xml:space="preserve"> </w:t>
        </w:r>
        <w:r>
          <w:rPr>
            <w:rStyle w:val="Hyperlink"/>
          </w:rPr>
          <w:t xml:space="preserve">in</w:t>
        </w:r>
        <w:r>
          <w:rPr>
            <w:rStyle w:val="Hyperlink"/>
          </w:rPr>
          <w:t xml:space="preserve"> </w:t>
        </w:r>
        <w:r>
          <w:rPr>
            <w:rStyle w:val="Hyperlink"/>
          </w:rPr>
          <w:t xml:space="preserve">Authoritarian Regimes</w:t>
        </w:r>
      </w:hyperlink>
      <w:r>
        <w:t xml:space="preserve">.</w:t>
      </w:r>
      <w:r>
        <w:t xml:space="preserve"> </w:t>
      </w:r>
      <w:r>
        <w:rPr>
          <w:i/>
          <w:iCs/>
        </w:rPr>
        <w:t xml:space="preserve">Perspectives on Politics</w:t>
      </w:r>
      <w:r>
        <w:t xml:space="preserve"> </w:t>
      </w:r>
      <w:r>
        <w:rPr>
          <w:b/>
          <w:bCs/>
        </w:rPr>
        <w:t xml:space="preserve">23</w:t>
      </w:r>
      <w:r>
        <w:t xml:space="preserve">, 415–433 (2025).</w:t>
      </w:r>
    </w:p>
    <w:bookmarkEnd w:id="29"/>
    <w:bookmarkStart w:id="31" w:name="ref-stechemesser2024"/>
    <w:p>
      <w:pPr>
        <w:pStyle w:val="Bibliography"/>
      </w:pPr>
      <w:r>
        <w:t xml:space="preserve">3.</w:t>
      </w:r>
      <w:r>
        <w:t xml:space="preserve"> </w:t>
      </w:r>
      <w:r>
        <w:t xml:space="preserve">	</w:t>
      </w:r>
      <w:r>
        <w:t xml:space="preserve">A. Stechemesser, N. Koch, E. Mark, E. Dilger, P. Klösel, L. Menicacci, D. Nachtigall, F. Pretis, N. Ritter, M. Schwarz, H. Vossen, A. Wenzel,</w:t>
      </w:r>
      <w:r>
        <w:t xml:space="preserve"> </w:t>
      </w:r>
      <w:hyperlink r:id="rId30">
        <w:r>
          <w:rPr>
            <w:rStyle w:val="Hyperlink"/>
          </w:rPr>
          <w:t xml:space="preserve">Climate</w:t>
        </w:r>
        <w:r>
          <w:rPr>
            <w:rStyle w:val="Hyperlink"/>
          </w:rPr>
          <w:t xml:space="preserve"> </w:t>
        </w:r>
        <w:r>
          <w:rPr>
            <w:rStyle w:val="Hyperlink"/>
          </w:rPr>
          <w:t xml:space="preserve">Policies That Achieved Major Emission Reductions</w:t>
        </w:r>
        <w:r>
          <w:rPr>
            <w:rStyle w:val="Hyperlink"/>
          </w:rPr>
          <w:t xml:space="preserve">:</w:t>
        </w:r>
        <w:r>
          <w:rPr>
            <w:rStyle w:val="Hyperlink"/>
          </w:rPr>
          <w:t xml:space="preserve"> </w:t>
        </w:r>
        <w:r>
          <w:rPr>
            <w:rStyle w:val="Hyperlink"/>
          </w:rPr>
          <w:t xml:space="preserve">Global Evidence</w:t>
        </w:r>
        <w:r>
          <w:rPr>
            <w:rStyle w:val="Hyperlink"/>
          </w:rPr>
          <w:t xml:space="preserve"> </w:t>
        </w:r>
        <w:r>
          <w:rPr>
            <w:rStyle w:val="Hyperlink"/>
          </w:rPr>
          <w:t xml:space="preserve">from</w:t>
        </w:r>
        <w:r>
          <w:rPr>
            <w:rStyle w:val="Hyperlink"/>
          </w:rPr>
          <w:t xml:space="preserve"> </w:t>
        </w:r>
        <w:r>
          <w:rPr>
            <w:rStyle w:val="Hyperlink"/>
          </w:rPr>
          <w:t xml:space="preserve">Two Decades</w:t>
        </w:r>
      </w:hyperlink>
      <w:r>
        <w:t xml:space="preserve">.</w:t>
      </w:r>
      <w:r>
        <w:t xml:space="preserve"> </w:t>
      </w:r>
      <w:r>
        <w:rPr>
          <w:i/>
          <w:iCs/>
        </w:rPr>
        <w:t xml:space="preserve">Science</w:t>
      </w:r>
      <w:r>
        <w:t xml:space="preserve"> </w:t>
      </w:r>
      <w:r>
        <w:rPr>
          <w:b/>
          <w:bCs/>
        </w:rPr>
        <w:t xml:space="preserve">385</w:t>
      </w:r>
      <w:r>
        <w:t xml:space="preserve">, 884–892 (2024).</w:t>
      </w:r>
    </w:p>
    <w:bookmarkEnd w:id="31"/>
    <w:bookmarkStart w:id="33" w:name="ref-helleiner2025"/>
    <w:p>
      <w:pPr>
        <w:pStyle w:val="Bibliography"/>
      </w:pPr>
      <w:r>
        <w:t xml:space="preserve">4.</w:t>
      </w:r>
      <w:r>
        <w:t xml:space="preserve"> </w:t>
      </w:r>
      <w:r>
        <w:t xml:space="preserve">	</w:t>
      </w:r>
      <w:r>
        <w:t xml:space="preserve">E. Helleiner, M. DiLeo, J. van ’t Klooster,</w:t>
      </w:r>
      <w:r>
        <w:t xml:space="preserve"> </w:t>
      </w:r>
      <w:hyperlink r:id="rId32">
        <w:r>
          <w:rPr>
            <w:rStyle w:val="Hyperlink"/>
          </w:rPr>
          <w:t xml:space="preserve">Financial</w:t>
        </w:r>
        <w:r>
          <w:rPr>
            <w:rStyle w:val="Hyperlink"/>
          </w:rPr>
          <w:t xml:space="preserve"> </w:t>
        </w:r>
        <w:r>
          <w:rPr>
            <w:rStyle w:val="Hyperlink"/>
          </w:rPr>
          <w:t xml:space="preserve">Technocrats</w:t>
        </w:r>
        <w:r>
          <w:rPr>
            <w:rStyle w:val="Hyperlink"/>
          </w:rPr>
          <w:t xml:space="preserve"> </w:t>
        </w:r>
        <w:r>
          <w:rPr>
            <w:rStyle w:val="Hyperlink"/>
          </w:rPr>
          <w:t xml:space="preserve">as</w:t>
        </w:r>
        <w:r>
          <w:rPr>
            <w:rStyle w:val="Hyperlink"/>
          </w:rPr>
          <w:t xml:space="preserve"> </w:t>
        </w:r>
        <w:r>
          <w:rPr>
            <w:rStyle w:val="Hyperlink"/>
          </w:rPr>
          <w:t xml:space="preserve">Competitive Regime Creators</w:t>
        </w:r>
        <w:r>
          <w:rPr>
            <w:rStyle w:val="Hyperlink"/>
          </w:rPr>
          <w:t xml:space="preserve">:</w:t>
        </w:r>
        <w:r>
          <w:rPr>
            <w:rStyle w:val="Hyperlink"/>
          </w:rPr>
          <w:t xml:space="preserve"> </w:t>
        </w:r>
        <w:r>
          <w:rPr>
            <w:rStyle w:val="Hyperlink"/>
          </w:rPr>
          <w:t xml:space="preserve">The Founding</w:t>
        </w:r>
        <w:r>
          <w:rPr>
            <w:rStyle w:val="Hyperlink"/>
          </w:rPr>
          <w:t xml:space="preserve"> </w:t>
        </w:r>
        <w:r>
          <w:rPr>
            <w:rStyle w:val="Hyperlink"/>
          </w:rPr>
          <w:t xml:space="preserve">and</w:t>
        </w:r>
        <w:r>
          <w:rPr>
            <w:rStyle w:val="Hyperlink"/>
          </w:rPr>
          <w:t xml:space="preserve"> </w:t>
        </w:r>
        <w:r>
          <w:rPr>
            <w:rStyle w:val="Hyperlink"/>
          </w:rPr>
          <w:t xml:space="preserve">Design</w:t>
        </w:r>
        <w:r>
          <w:rPr>
            <w:rStyle w:val="Hyperlink"/>
          </w:rPr>
          <w:t xml:space="preserve"> </w:t>
        </w:r>
        <w:r>
          <w:rPr>
            <w:rStyle w:val="Hyperlink"/>
          </w:rPr>
          <w:t xml:space="preserve">of the</w:t>
        </w:r>
        <w:r>
          <w:rPr>
            <w:rStyle w:val="Hyperlink"/>
          </w:rPr>
          <w:t xml:space="preserve"> </w:t>
        </w:r>
        <w:r>
          <w:rPr>
            <w:rStyle w:val="Hyperlink"/>
          </w:rPr>
          <w:t xml:space="preserve">Network</w:t>
        </w:r>
        <w:r>
          <w:rPr>
            <w:rStyle w:val="Hyperlink"/>
          </w:rPr>
          <w:t xml:space="preserve"> </w:t>
        </w:r>
        <w:r>
          <w:rPr>
            <w:rStyle w:val="Hyperlink"/>
          </w:rPr>
          <w:t xml:space="preserve">for</w:t>
        </w:r>
        <w:r>
          <w:rPr>
            <w:rStyle w:val="Hyperlink"/>
          </w:rPr>
          <w:t xml:space="preserve"> </w:t>
        </w:r>
        <w:r>
          <w:rPr>
            <w:rStyle w:val="Hyperlink"/>
          </w:rPr>
          <w:t xml:space="preserve">Greening</w:t>
        </w:r>
        <w:r>
          <w:rPr>
            <w:rStyle w:val="Hyperlink"/>
          </w:rPr>
          <w:t xml:space="preserve"> </w:t>
        </w:r>
        <w:r>
          <w:rPr>
            <w:rStyle w:val="Hyperlink"/>
          </w:rPr>
          <w:t xml:space="preserve">the</w:t>
        </w:r>
        <w:r>
          <w:rPr>
            <w:rStyle w:val="Hyperlink"/>
          </w:rPr>
          <w:t xml:space="preserve"> </w:t>
        </w:r>
        <w:r>
          <w:rPr>
            <w:rStyle w:val="Hyperlink"/>
          </w:rPr>
          <w:t xml:space="preserve">Financial System</w:t>
        </w:r>
      </w:hyperlink>
      <w:r>
        <w:t xml:space="preserve">.</w:t>
      </w:r>
      <w:r>
        <w:t xml:space="preserve"> </w:t>
      </w:r>
      <w:r>
        <w:rPr>
          <w:i/>
          <w:iCs/>
        </w:rPr>
        <w:t xml:space="preserve">Regulation &amp; Governance</w:t>
      </w:r>
      <w:r>
        <w:t xml:space="preserve"> </w:t>
      </w:r>
      <w:r>
        <w:rPr>
          <w:b/>
          <w:bCs/>
        </w:rPr>
        <w:t xml:space="preserve">Online First</w:t>
      </w:r>
      <w:r>
        <w:t xml:space="preserve"> </w:t>
      </w:r>
      <w:r>
        <w:t xml:space="preserve">(2025).</w:t>
      </w:r>
    </w:p>
    <w:bookmarkEnd w:id="33"/>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8" Target="https://doi.org/10.1017/S1537592724000793" TargetMode="External" /><Relationship Type="http://schemas.openxmlformats.org/officeDocument/2006/relationships/hyperlink" Id="rId32" Target="https://doi.org/10.1111/rego.12629" TargetMode="External" /><Relationship Type="http://schemas.openxmlformats.org/officeDocument/2006/relationships/hyperlink" Id="rId30" Target="https://doi.org/10.1126/science.adl6547" TargetMode="External" /><Relationship Type="http://schemas.openxmlformats.org/officeDocument/2006/relationships/hyperlink" Id="rId26" Target="https://doi.org/10.2760/9816914" TargetMode="External" /><Relationship Type="http://schemas.openxmlformats.org/officeDocument/2006/relationships/hyperlink" Id="rId9" Target="https://edgar.jrc.ec.europa.eu/dataset_ghg2025" TargetMode="External" /><Relationship Type="http://schemas.openxmlformats.org/officeDocument/2006/relationships/hyperlink" Id="rId10" Target="https://edgar.jrc.ec.europa.eu/methodology" TargetMode="External" /><Relationship Type="http://schemas.openxmlformats.org/officeDocument/2006/relationships/hyperlink" Id="rId13" Target="https://www.ngfs.net/en/about-us/membership" TargetMode="External" /></Relationships>
</file>

<file path=word/_rels/footnotes.xml.rels><?xml version="1.0" encoding="UTF-8"?><Relationships xmlns="http://schemas.openxmlformats.org/package/2006/relationships"><Relationship Type="http://schemas.openxmlformats.org/officeDocument/2006/relationships/hyperlink" Id="rId28" Target="https://doi.org/10.1017/S1537592724000793" TargetMode="External" /><Relationship Type="http://schemas.openxmlformats.org/officeDocument/2006/relationships/hyperlink" Id="rId32" Target="https://doi.org/10.1111/rego.12629" TargetMode="External" /><Relationship Type="http://schemas.openxmlformats.org/officeDocument/2006/relationships/hyperlink" Id="rId30" Target="https://doi.org/10.1126/science.adl6547" TargetMode="External" /><Relationship Type="http://schemas.openxmlformats.org/officeDocument/2006/relationships/hyperlink" Id="rId26" Target="https://doi.org/10.2760/9816914" TargetMode="External" /><Relationship Type="http://schemas.openxmlformats.org/officeDocument/2006/relationships/hyperlink" Id="rId9" Target="https://edgar.jrc.ec.europa.eu/dataset_ghg2025" TargetMode="External" /><Relationship Type="http://schemas.openxmlformats.org/officeDocument/2006/relationships/hyperlink" Id="rId10" Target="https://edgar.jrc.ec.europa.eu/methodology" TargetMode="External" /><Relationship Type="http://schemas.openxmlformats.org/officeDocument/2006/relationships/hyperlink" Id="rId13" Target="https://www.ngfs.net/en/about-us/membershi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materials for Greening while Governing the Economy: Do Green Central Banks Matter?</dc:title>
  <dc:creator/>
  <cp:keywords/>
  <dcterms:created xsi:type="dcterms:W3CDTF">2026-06-22T20:39:53Z</dcterms:created>
  <dcterms:modified xsi:type="dcterms:W3CDTF">2026-06-22T20:39:53Z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/Users/vmartinsdias/Zotero/references.bib</vt:lpwstr>
  </property>
  <property fmtid="{D5CDD505-2E9C-101B-9397-08002B2CF9AE}" pid="4" name="csl">
    <vt:lpwstr>/Users/vmartinsdias/Zotero/styles/science.csl</vt:lpwstr>
  </property>
  <property fmtid="{D5CDD505-2E9C-101B-9397-08002B2CF9AE}" pid="5" name="execute">
    <vt:lpwstr/>
  </property>
  <property fmtid="{D5CDD505-2E9C-101B-9397-08002B2CF9AE}" pid="6" name="fig-cap-location">
    <vt:lpwstr>top</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bl-align">
    <vt:lpwstr>center</vt:lpwstr>
  </property>
  <property fmtid="{D5CDD505-2E9C-101B-9397-08002B2CF9AE}" pid="12" name="tbl-cap-location">
    <vt:lpwstr>top</vt:lpwstr>
  </property>
  <property fmtid="{D5CDD505-2E9C-101B-9397-08002B2CF9AE}" pid="13" name="toc-title">
    <vt:lpwstr>Table of Contents</vt:lpwstr>
  </property>
</Properties>
</file>