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Calibri" w:hAnsi="Calibri"/>
          <w:b/>
          <w:color w:val="0B7D6B"/>
          <w:sz w:val="18"/>
        </w:rPr>
        <w:t>MINUTA SIMPLIFICADA · PARA REVISÃO JURÍDICA</w:t>
      </w:r>
    </w:p>
    <w:p>
      <w:pPr>
        <w:spacing w:after="80"/>
      </w:pPr>
      <w:r>
        <w:rPr>
          <w:rFonts w:ascii="Calibri" w:hAnsi="Calibri"/>
          <w:b/>
          <w:color w:val="123D34"/>
          <w:sz w:val="58"/>
        </w:rPr>
        <w:t>CONTRATO DE</w:t>
        <w:br/>
        <w:t>DESENVOLVIMENTO DE MVP</w:t>
      </w:r>
    </w:p>
    <w:p>
      <w:pPr>
        <w:spacing w:after="360"/>
      </w:pPr>
      <w:r>
        <w:rPr>
          <w:rFonts w:ascii="Calibri" w:hAnsi="Calibri"/>
          <w:b/>
          <w:color w:val="0B7D6B"/>
          <w:sz w:val="36"/>
        </w:rPr>
        <w:t>Instituto Vivance</w:t>
      </w:r>
    </w:p>
    <w:p>
      <w:pPr>
        <w:spacing w:after="320" w:line="269" w:lineRule="auto"/>
      </w:pPr>
      <w:r>
        <w:rPr>
          <w:rFonts w:ascii="Calibri" w:hAnsi="Calibri"/>
          <w:i w:val="0"/>
          <w:color w:val="607A73"/>
          <w:sz w:val="20"/>
        </w:rPr>
        <w:t>Desenvolvimento de uma plataforma digital de cuidado longitudinal para emagrecimento e saúde do envelhecimento, com experiência mobile-first para pacientes e ambiente desktop-first para o médico.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6E3DF"/>
          <w:start w:val="single" w:sz="8" w:color="D6E3DF"/>
          <w:bottom w:val="single" w:sz="8" w:color="D6E3DF"/>
          <w:end w:val="single" w:sz="8" w:color="D6E3DF"/>
          <w:insideH w:val="single" w:sz="8" w:color="D6E3DF"/>
          <w:insideV w:val="single" w:sz="8" w:color="D6E3DF"/>
        </w:tblBorders>
      </w:tblPr>
      <w:tblGrid>
        <w:gridCol w:w="2350"/>
        <w:gridCol w:w="7010"/>
      </w:tblGrid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OBJETO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Criação e entrega do MVP descrito no Anexo I.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PREÇO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5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R$ 30.000,00 (trinta mil reais), valor total do MVP.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PAGAMENTO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6 parcelas de R$ 5.000,00, com vencimento todo dia 20. Primeira: [20/__/____].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EXECUÇÃO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5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Organizada por etapas e prioridades. As parcelas não criam prazo fixo de seis meses.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FASE 2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Eventual expansão comercial será tratada em contrato separado.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LEITURA RÁPIDA  </w:t>
            </w:r>
            <w:r>
              <w:rPr>
                <w:rFonts w:ascii="Calibri" w:hAnsi="Calibri"/>
                <w:color w:val="173A33"/>
                <w:sz w:val="20"/>
              </w:rPr>
              <w:t>Este documento concentra apenas os pontos essenciais da contratação. Campos entre colchetes devem ser preenchidos antes da assinatura.</w:t>
            </w:r>
          </w:p>
        </w:tc>
      </w:tr>
    </w:tbl>
    <w:p>
      <w:pPr>
        <w:spacing w:after="0"/>
      </w:pPr>
    </w:p>
    <w:p>
      <w:pPr>
        <w:spacing w:before="360" w:after="0"/>
      </w:pPr>
      <w:r>
        <w:rPr>
          <w:rFonts w:ascii="Calibri" w:hAnsi="Calibri"/>
          <w:color w:val="607A73"/>
          <w:sz w:val="18"/>
        </w:rPr>
        <w:t>Versão: 31 de agosto de 2026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hAnsi="Calibri"/>
          <w:b/>
          <w:color w:val="123D34"/>
          <w:sz w:val="34"/>
        </w:rPr>
        <w:t>PARTES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CONTRATANTE  </w:t>
            </w:r>
            <w:r>
              <w:rPr>
                <w:rFonts w:ascii="Calibri" w:hAnsi="Calibri"/>
                <w:color w:val="173A33"/>
                <w:sz w:val="20"/>
              </w:rPr>
              <w:t>[RAZÃO SOCIAL DO INSTITUTO VIVANCE], CNPJ nº [CNPJ], com sede em [ENDEREÇO], representada por [NOME, CPF E CARGO], e-mail [E-MAIL].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CONTRATADA  </w:t>
            </w:r>
            <w:r>
              <w:rPr>
                <w:rFonts w:ascii="Calibri" w:hAnsi="Calibri"/>
                <w:color w:val="173A33"/>
                <w:sz w:val="20"/>
              </w:rPr>
              <w:t>[RAZÃO SOCIAL OU NOME], [CNPJ/CPF] nº [NÚMERO], com endereço em [ENDEREÇO], representada por [NOME E QUALIFICAÇÃO, SE APLICÁVEL], e-mail [E-MAIL].</w:t>
            </w:r>
          </w:p>
        </w:tc>
      </w:tr>
    </w:tbl>
    <w:p>
      <w:pPr>
        <w:spacing w:after="0"/>
      </w:pPr>
    </w:p>
    <w:p>
      <w:pPr>
        <w:spacing w:after="160" w:line="269" w:lineRule="auto"/>
      </w:pPr>
      <w:r>
        <w:rPr>
          <w:rFonts w:ascii="Calibri" w:hAnsi="Calibri"/>
          <w:i w:val="0"/>
          <w:color w:val="607A73"/>
          <w:sz w:val="20"/>
        </w:rPr>
        <w:t>Contratante e Contratada são denominadas, em conjunto, “Partes”.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1. OBJETO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1.1. A Contratada criará, desenvolverá, testará e entregará o MVP do Instituto Vivance conforme o Anexo I, incluindo desenho de produto, software, documentação curta e apoio à validação.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1.2. O MVP servirá para validar a jornada antes, durante e depois da consulta. A construção começará com dados fictícios e poderá evoluir conforme os aprendizados do projeto.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1.3. O projeto não garante resultado clínico, financeiro, regulatório, comercial ou de captação de investimento.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2. FORMA DE TRABALHO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2.1. As Partes trabalharão de forma colaborativa, com prioridades registradas em um plano simples de trabalho e demonstrações periódicas.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2.2. Ajustes pequenos de prioridade ou solução poderão ser combinados por mensagem, sem aditivo, desde que não aumentem de forma relevante o esforço ou o objetivo do MVP. Novas funcionalidades, integrações de produção ou ampliações materiais dependerão de orçamento aprovado.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2.3. A execução começa após a assinatura, o pagamento da primeira parcela e o recebimento dos insumos básicos. O andamento acompanhará a complexidade, as validações e as dependências do projeto, sem prazo contratual fixo de seis meses.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2.4. Entregas serão revisadas ao longo do projeto. Correções de itens já incluídos no Anexo I não terão custo adicional. Defeitos reproduzíveis informados em até 30 dias após a entrega final também serão corrigidos; melhorias e mudanças externas ficam fora dessa garantia.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3. PREÇO E PAGAMENTOS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3.1. O preço total do MVP é de R$ 30.000,00 (trinta mil reais), pago em 6 (seis) parcelas mensais de R$ 5.000,00 (cinco mil reais).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3.2. As parcelas vencem todo dia 20, sendo a primeira em [20/__/____] e as demais no dia 20 dos cinco meses seguintes.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8F4F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IMPORTANTE  </w:t>
            </w:r>
            <w:r>
              <w:rPr>
                <w:rFonts w:ascii="Calibri" w:hAnsi="Calibri"/>
                <w:color w:val="173A33"/>
                <w:sz w:val="20"/>
              </w:rPr>
              <w:t>O parcelamento é apenas a forma de pagamento do preço fechado do MVP. Ele não transforma o contrato em mensalidade e não define prazo de entrega de seis meses.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3.3. Custos de nuvem, servidores, APIs, ferramentas de IA, mensageria, domínio, certificados e outros fornecedores não estão incluídos. Só poderão ser cobrados após apresentação e aprovação prévia da Contratante, preferencialmente em conta própria dela. A referência de até 15% do valor do MVP é apenas estimativa de planejamento, não autorização automática de gasto.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3.4. Atrasos superiores a 10 dias poderão suspender o trabalho após aviso por escrito, com ajuste natural do cronograma. A Contratada emitirá o documento fiscal aplicável.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4. RESPONSABILIDADES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Da Contratada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4.1. Desenvolver o MVP com diligência técnica; comunicar andamento, riscos e decisões importantes; proteger informações recebidas; usar dados fictícios durante a construção; e entregar, ao final e após a quitação, o código, a documentação e os acessos do projeto que estejam sob sua gestão.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Da Contratante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4.2. Fornecer informações, identidade visual, protocolos, acessos e decisões necessários; indicar quem aprova o produto; revisar as entregas em prazo razoável; pagar os valores contratados; e validar todo conteúdo clínico antes de uso com pacientes.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4.3. As Partes cooperarão para resolver impedimentos e ajustar prioridades sem burocracia desnecessária, preservando o preço e o objetivo global do MVP.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5. INTELIGÊNCIA ARTIFICIAL E SEGURANÇA CLÍNICA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5.1. A IA poderá organizar informações, resumir conversas, preparar rascunhos, destacar padrões, sugerir perguntas e apoiar relatórios.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5.2. A IA não poderá diagnosticar, prescrever, emitir receita, alterar tratamento ou dose, substituir atendimento de urgência nem tomar decisão clínica de forma autônoma.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5.3. Todo conteúdo clínico gerado por IA será tratado como rascunho sujeito a erro e dependerá da revisão do médico responsável antes de orientar o paciente. A responsabilidade pela avaliação e pela conduta clínica permanece com o profissional de saúde.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REGRA DO PRODUTO  </w:t>
            </w:r>
            <w:r>
              <w:rPr>
                <w:rFonts w:ascii="Calibri" w:hAnsi="Calibri"/>
                <w:color w:val="173A33"/>
                <w:sz w:val="20"/>
              </w:rPr>
              <w:t>A IA organiza e sugere. O médico revisa e decide.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6. PRIVACIDADE E CONFIDENCIALIDADE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6.1. As Partes protegerão informações técnicas, comerciais, clínicas e pessoais recebidas durante o projeto e as usarão apenas para esta contratação. O dever de sigilo continua após o encerramento enquanto a informação permanecer confidencial ou a lei exigir proteção.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6.2. Dados reais de pacientes somente poderão ser usados depois de decisão expressa da Contratante e da definição, por escrito, de finalidade, base legal, perfis de acesso, fornecedores, retenção, segurança e resposta a incidentes, conforme a Lei nº 13.709/2018 (LGPD). Até lá, serão usados dados fictícios ou adequadamente anonimizados.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6.3. Nenhuma das Partes poderá usar dados de pacientes para finalidade própria, publicidade ou treinamento de modelos sem autorização específica e base legal adequada. Qualquer incidente relevante será comunicado à outra Parte sem demora indevida.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7. PROPRIEDADE INTELECTUAL E USO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7.1. Cada Parte mantém a titularidade de suas marcas, conteúdos, códigos, métodos, ferramentas e materiais já existentes. A Contratante permanece titular de sua marca, seus protocolos, seus dados e seus conteúdos.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7.2. Após o pagamento integral, a Contratante receberá o código e a documentação do MVP e poderá usá-lo, mantê-lo e adaptá-lo de forma permanente na operação do Instituto Vivance.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7.3. A Contratada poderá reutilizar conhecimento, estruturas e componentes genéricos que não revelem dados, marca, protocolos ou segredos da Contratante. Bibliotecas de terceiros continuarão sujeitas às respectivas licenças.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7.4. A venda, o licenciamento ou a oferta do produto para outras clínicas não está incluída nesta Fase 1 e será organizada na Fase 2.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8. ENCERRAMENTO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8.1. O contrato entra em vigor na assinatura e permanece válido até a entrega do MVP e a quitação dos valores.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8.2. Qualquer Parte poderá encerrar o contrato mediante aviso escrito com 15 dias de antecedência. Nesse caso, a Contratante pagará o trabalho efetivamente realizado e os custos externos já aprovados e não canceláveis; a Contratada entregará os materiais correspondentes aos valores pagos e devolverá eventual valor recebido por trabalho não executado.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8.3. Descumprimento relevante deverá ser comunicado e, sempre que possível, corrigido antes do encerramento imediato. Situações urgentes de segurança, confidencialidade ou proteção de dados poderão justificar suspensão imediata.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9. POSSÍVEL FASE 2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9.1. Se o MVP for validado e as Partes decidirem comercializá-lo para outras clínicas ou mercados, celebrarão contrato separado para a Fase 2.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9.2. As Partes registram a intenção de considerar participação comercial de 15% em favor da Contratada nessa fase. Base de cálculo, prazo, responsabilidades, investimentos, parceiros e demais condições serão definidos somente no contrato da Fase 2.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9.3. Este contrato não cria participação societária, equity, comissão atual, exclusividade ou obrigação de iniciar a Fase 2.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10. REGRAS GERAIS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10.1. As Partes são independentes. Este contrato não cria vínculo trabalhista, sociedade, representação ou exclusividade.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10.2. Aprovações e avisos poderão ser feitos por e-mail ou outro canal eletrônico indicado pelas Partes, desde que seja possível identificar o conteúdo e quem o enviou.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10.3. Este documento poderá ser assinado eletronicamente e será regido pelas leis brasileiras. Fica eleito o foro da Comarca de [COMARCA/UF], salvo regra legal obrigatória em sentido diferente.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ANTES DE ASSINAR  </w:t>
            </w:r>
            <w:r>
              <w:rPr>
                <w:rFonts w:ascii="Calibri" w:hAnsi="Calibri"/>
                <w:color w:val="173A33"/>
                <w:sz w:val="20"/>
              </w:rPr>
              <w:t>Preencher os campos entre colchetes e submeter esta minuta à revisão de advogado brasileiro, especialmente quanto à qualificação das Partes, tributação, propriedade intelectual, LGPD e condições da Fase 2.</w:t>
            </w:r>
          </w:p>
        </w:tc>
      </w:tr>
    </w:tbl>
    <w:p>
      <w:pPr>
        <w:spacing w:after="0"/>
      </w:pPr>
    </w:p>
    <w:p>
      <w:pPr>
        <w:pageBreakBefore/>
        <w:spacing w:before="280" w:after="240"/>
        <w:jc w:val="center"/>
      </w:pPr>
      <w:r>
        <w:rPr>
          <w:rFonts w:ascii="Calibri" w:hAnsi="Calibri"/>
          <w:b/>
          <w:color w:val="173A33"/>
          <w:sz w:val="20"/>
        </w:rPr>
        <w:t>[CIDADE], [DATA].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20"/>
              </w:rPr>
              <w:t>__________________________________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20"/>
              </w:rPr>
              <w:t>__________________________________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23D34"/>
                <w:sz w:val="19"/>
              </w:rPr>
              <w:t>CONTRATANTE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23D34"/>
                <w:sz w:val="19"/>
              </w:rPr>
              <w:t>CONTRATADA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9"/>
              </w:rPr>
              <w:t>[NOME / CPF / CARGO]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9"/>
              </w:rPr>
              <w:t>[NOME / CPF / CARGO]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9"/>
              </w:rPr>
              <w:t>[E-MAIL]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9"/>
              </w:rPr>
              <w:t>[E-MAIL]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Testemunhas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__________________________________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__________________________________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Nome: [PREENCHER]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Nome: [PREENCHER]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CPF: [PREENCHER]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CPF: [PREENCHER]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B7D6B"/>
          <w:sz w:val="18"/>
        </w:rPr>
        <w:t>ANEXO I</w:t>
      </w:r>
    </w:p>
    <w:p>
      <w:pPr>
        <w:pStyle w:val="Heading1"/>
        <w:spacing w:after="100"/>
      </w:pPr>
      <w:r>
        <w:rPr>
          <w:rFonts w:ascii="Calibri" w:hAnsi="Calibri"/>
          <w:b/>
          <w:color w:val="123D34"/>
          <w:sz w:val="40"/>
        </w:rPr>
        <w:t>ESCOPO SIMPLIFICADO DO MVP</w:t>
      </w:r>
    </w:p>
    <w:p>
      <w:pPr>
        <w:spacing w:after="200" w:line="269" w:lineRule="auto"/>
      </w:pPr>
      <w:r>
        <w:rPr>
          <w:rFonts w:ascii="Calibri" w:hAnsi="Calibri"/>
          <w:i w:val="0"/>
          <w:color w:val="607A73"/>
          <w:sz w:val="20"/>
        </w:rPr>
        <w:t>O MVP tem como objetivo centralizar a jornada de cuidado, reduzir trabalho manual e dar ao paciente uma visão simples de evolução, sempre com supervisão médica.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1. Experiência do paciente · mobile-first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Tela do dia, plano de cuidado, diário, evolução, mensagens e consultas; pré-consulta por conversa ou voz simulada; registro de sintomas e rotina; fotos de refeições com notas de 1 a 5 e confirmação de envio ao médico.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2. Experiência do médico · desktop-first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Visão geral com total de pacientes, regulares e atrasados no check-in; agenda diária clicável; lista e perfil longitudinal de pacientes; pendências, alertas e acesso direto à pré-consulta.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3. Consulta, documentos e comunicação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Notas de consulta, sínteses das conversas, próximos passos, mensagens internas, relatórios de evolução, PDFs demonstrativos e histórico simulado de receitas e documentos.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4. IA assistiva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Pré-consulta conversacional; sínteses e rascunhos; identificação de assuntos a revisar; análise demonstrativa de fotos de pratos; sinais de atraso ou mudança de padrão. Toda saída clínica depende de revisão médica.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5. Evolução e objetivos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Indicador simples de quanto falta para o objetivo, tendências de peso, sono, passos e adesão, além de relatórios semanais, quinzenais ou mensais demonstrativos.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6. Entrega técnica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Código-fonte do MVP, instruções para execução, configuração básica do ambiente e documentação curta para continuidade e validação.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140" w:after="60"/>
      </w:pPr>
      <w:r>
        <w:rPr>
          <w:rFonts w:ascii="Calibri" w:hAnsi="Calibri"/>
          <w:b/>
          <w:color w:val="0B7D6B"/>
          <w:sz w:val="22"/>
        </w:rPr>
        <w:t>O que não está incluído nesta fase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INTEGRAÇÕES REAIS  </w:t>
      </w:r>
      <w:r>
        <w:rPr>
          <w:rFonts w:ascii="Calibri" w:hAnsi="Calibri"/>
          <w:color w:val="173A33"/>
          <w:sz w:val="20"/>
        </w:rPr>
        <w:t>HealthKit, Health Connect, relógios, Google Meet, prescrição digital, assinatura eletrônica, WhatsApp, pagamentos, prontuários e bases científicas poderão ser simulados ou preparados, mas a ativação em produção dependerá de acordo próprio, credenciais e custos externos.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OPERAÇÃO E REGULAÇÃO  </w:t>
      </w:r>
      <w:r>
        <w:rPr>
          <w:rFonts w:ascii="Calibri" w:hAnsi="Calibri"/>
          <w:color w:val="173A33"/>
          <w:sz w:val="20"/>
        </w:rPr>
        <w:t>Aplicativos nativos publicados em lojas, suporte 24x7, central de atendimento, migração de prontuário, certificações, estudos clínicos, enquadramento como dispositivo médico e expansão internacional não fazem parte deste MVP.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DADOS REAIS  </w:t>
      </w:r>
      <w:r>
        <w:rPr>
          <w:rFonts w:ascii="Calibri" w:hAnsi="Calibri"/>
          <w:color w:val="173A33"/>
          <w:sz w:val="20"/>
        </w:rPr>
        <w:t>O uso de dados de pacientes em piloto ou produção dependerá das condições de privacidade e segurança previstas na Cláusula 6.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Quando o MVP será considerado entregue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O MVP será considerado entregue quando os fluxos essenciais acima estiverem navegáveis, os avisos sobre dados demonstrativos e revisão médica estiverem visíveis, não houver defeito bloqueador reproduzível e o código, os acessos sob gestão da Contratada e a documentação de execução tiverem sido disponibilizados.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79" w:left="1224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607A73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B7D6B"/>
        <w:sz w:val="16"/>
      </w:rPr>
      <w:t>INSTITUTO VIVANCE  ·  CONTRATO SIMPLIFICADO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73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D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D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Simplificado de Desenvolvimento de MVP — Instituto Vivance</dc:title>
  <dc:subject>Minuta simplificada para contratação do MVP</dc:subject>
  <dc:creator>Instituto Vivance</dc:creator>
  <cp:keywords>Instituto Vivance, MVP, contrato, IA, saúde, LGPD</cp:keywords>
  <dc:description>Minuta para revisão jurídica; campos entre colchetes devem ser preenchidos.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