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160"/>
      </w:pPr>
      <w:r>
        <w:rPr>
          <w:rFonts w:ascii="Calibri" w:hAnsi="Calibri"/>
          <w:b/>
          <w:color w:val="0B7D6B"/>
          <w:sz w:val="18"/>
        </w:rPr>
        <w:t>MINUTA SIMPLIFICADA · PARA REVISÃO JURÍDICA</w:t>
      </w:r>
    </w:p>
    <w:p>
      <w:pPr>
        <w:spacing w:after="80"/>
      </w:pPr>
      <w:r>
        <w:rPr>
          <w:rFonts w:ascii="Calibri" w:hAnsi="Calibri"/>
          <w:b/>
          <w:color w:val="123D34"/>
          <w:sz w:val="58"/>
        </w:rPr>
        <w:t>CONTRATO DE</w:t>
        <w:br/>
        <w:t>DESENVOLVIMENTO DE MVP</w:t>
      </w:r>
    </w:p>
    <w:p>
      <w:pPr>
        <w:spacing w:after="360"/>
      </w:pPr>
      <w:r>
        <w:rPr>
          <w:rFonts w:ascii="Calibri" w:hAnsi="Calibri"/>
          <w:b/>
          <w:color w:val="0B7D6B"/>
          <w:sz w:val="36"/>
        </w:rPr>
        <w:t>Instituto Vivance</w:t>
      </w:r>
    </w:p>
    <w:p>
      <w:pPr>
        <w:spacing w:after="320" w:line="269" w:lineRule="auto"/>
      </w:pPr>
      <w:r>
        <w:rPr>
          <w:rFonts w:ascii="Calibri" w:hAnsi="Calibri"/>
          <w:i w:val="0"/>
          <w:color w:val="607A73"/>
          <w:sz w:val="20"/>
        </w:rPr>
        <w:t>Desenvolvimento de uma plataforma digital de cuidado longitudinal para emagrecimento e saúde do envelhecimento, com experiência mobile-first para pacientes e ambiente desktop-first para o médico.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8" w:color="D6E3DF"/>
          <w:start w:val="single" w:sz="8" w:color="D6E3DF"/>
          <w:bottom w:val="single" w:sz="8" w:color="D6E3DF"/>
          <w:end w:val="single" w:sz="8" w:color="D6E3DF"/>
          <w:insideH w:val="single" w:sz="8" w:color="D6E3DF"/>
          <w:insideV w:val="single" w:sz="8" w:color="D6E3DF"/>
        </w:tblBorders>
      </w:tblPr>
      <w:tblGrid>
        <w:gridCol w:w="2350"/>
        <w:gridCol w:w="7010"/>
      </w:tblGrid>
      <w:tr>
        <w:tc>
          <w:tcPr>
            <w:tcW w:type="dxa" w:w="235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8F4F0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7D6B"/>
                <w:sz w:val="18"/>
              </w:rPr>
              <w:t>OBJETO</w:t>
            </w:r>
          </w:p>
        </w:tc>
        <w:tc>
          <w:tcPr>
            <w:tcW w:type="dxa" w:w="701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173A33"/>
                <w:sz w:val="20"/>
              </w:rPr>
              <w:t>Criação e entrega do MVP descrito no Anexo I.</w:t>
            </w:r>
          </w:p>
        </w:tc>
      </w:tr>
      <w:tr>
        <w:tc>
          <w:tcPr>
            <w:tcW w:type="dxa" w:w="235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8F4F0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7D6B"/>
                <w:sz w:val="18"/>
              </w:rPr>
              <w:t>PREÇO</w:t>
            </w:r>
          </w:p>
        </w:tc>
        <w:tc>
          <w:tcPr>
            <w:tcW w:type="dxa" w:w="701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4F7F5"/>
          </w:tcPr>
          <w:p>
            <w:pPr>
              <w:spacing w:after="0"/>
            </w:pPr>
            <w:r>
              <w:rPr>
                <w:rFonts w:ascii="Calibri" w:hAnsi="Calibri"/>
                <w:color w:val="173A33"/>
                <w:sz w:val="20"/>
              </w:rPr>
              <w:t>R$ 5.000,00 por mês de desenvolvimento; valor global do MVP: R$ 30.000,00.</w:t>
            </w:r>
          </w:p>
        </w:tc>
      </w:tr>
      <w:tr>
        <w:tc>
          <w:tcPr>
            <w:tcW w:type="dxa" w:w="235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8F4F0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7D6B"/>
                <w:sz w:val="18"/>
              </w:rPr>
              <w:t>PAGAMENTO</w:t>
            </w:r>
          </w:p>
        </w:tc>
        <w:tc>
          <w:tcPr>
            <w:tcW w:type="dxa" w:w="701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173A33"/>
                <w:sz w:val="20"/>
              </w:rPr>
              <w:t>Vencimento todo dia 20; primeira parcela em 20/09/2026. Conclusão antecipada não reduz o total de R$ 30.000,00.</w:t>
            </w:r>
          </w:p>
        </w:tc>
      </w:tr>
      <w:tr>
        <w:tc>
          <w:tcPr>
            <w:tcW w:type="dxa" w:w="235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8F4F0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7D6B"/>
                <w:sz w:val="18"/>
              </w:rPr>
              <w:t>VIGÊNCIA</w:t>
            </w:r>
          </w:p>
        </w:tc>
        <w:tc>
          <w:tcPr>
            <w:tcW w:type="dxa" w:w="701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4F7F5"/>
          </w:tcPr>
          <w:p>
            <w:pPr>
              <w:spacing w:after="0"/>
            </w:pPr>
            <w:r>
              <w:rPr>
                <w:rFonts w:ascii="Calibri" w:hAnsi="Calibri"/>
                <w:color w:val="173A33"/>
                <w:sz w:val="20"/>
              </w:rPr>
              <w:t>A partir de 1º de setembro de 2026, por etapas e prioridades, sem prazo fixo de seis meses.</w:t>
            </w:r>
          </w:p>
        </w:tc>
      </w:tr>
      <w:tr>
        <w:tc>
          <w:tcPr>
            <w:tcW w:type="dxa" w:w="235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8F4F0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7D6B"/>
                <w:sz w:val="18"/>
              </w:rPr>
              <w:t>FASE 2</w:t>
            </w:r>
          </w:p>
        </w:tc>
        <w:tc>
          <w:tcPr>
            <w:tcW w:type="dxa" w:w="701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173A33"/>
                <w:sz w:val="20"/>
              </w:rPr>
              <w:t>Eventual expansão comercial será tratada em contrato separado.</w:t>
            </w:r>
          </w:p>
        </w:tc>
      </w:tr>
    </w:tbl>
    <w:p>
      <w:pPr>
        <w:spacing w:after="8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7" w:color="D6E3DF"/>
          <w:start w:val="single" w:sz="7" w:color="D6E3DF"/>
          <w:bottom w:val="single" w:sz="7" w:color="D6E3DF"/>
          <w:end w:val="single" w:sz="7" w:color="D6E3DF"/>
        </w:tblBorders>
      </w:tblPr>
      <w:tblGrid>
        <w:gridCol w:w="9360"/>
      </w:tblGrid>
      <w:tr>
        <w:tc>
          <w:tcPr>
            <w:tcW w:type="dxa" w:w="9360"/>
            <w:tcMar>
              <w:top w:w="110" w:type="dxa"/>
              <w:start w:w="120" w:type="dxa"/>
              <w:bottom w:w="110" w:type="dxa"/>
              <w:end w:w="120" w:type="dxa"/>
            </w:tcMar>
            <w:shd w:fill="FFF3D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23D34"/>
                <w:sz w:val="20"/>
              </w:rPr>
              <w:t xml:space="preserve">LEITURA RÁPIDA  </w:t>
            </w:r>
            <w:r>
              <w:rPr>
                <w:rFonts w:ascii="Calibri" w:hAnsi="Calibri"/>
                <w:color w:val="173A33"/>
                <w:sz w:val="20"/>
              </w:rPr>
              <w:t>Este documento concentra apenas os pontos essenciais da contratação. Campos entre colchetes devem ser preenchidos antes da assinatura.</w:t>
            </w:r>
          </w:p>
        </w:tc>
      </w:tr>
    </w:tbl>
    <w:p>
      <w:pPr>
        <w:spacing w:after="0"/>
      </w:pPr>
    </w:p>
    <w:p>
      <w:pPr>
        <w:spacing w:before="360" w:after="0"/>
      </w:pPr>
      <w:r>
        <w:rPr>
          <w:rFonts w:ascii="Calibri" w:hAnsi="Calibri"/>
          <w:color w:val="607A73"/>
          <w:sz w:val="18"/>
        </w:rPr>
        <w:t>Versão atualizada: 1º de setembro de 2026</w:t>
      </w:r>
    </w:p>
    <w:p>
      <w:r>
        <w:br w:type="page"/>
      </w:r>
    </w:p>
    <w:p>
      <w:pPr>
        <w:pStyle w:val="Heading1"/>
        <w:spacing w:after="140"/>
      </w:pPr>
      <w:r>
        <w:rPr>
          <w:rFonts w:ascii="Calibri" w:hAnsi="Calibri"/>
          <w:b/>
          <w:color w:val="123D34"/>
          <w:sz w:val="34"/>
        </w:rPr>
        <w:t>PARTES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7" w:color="D6E3DF"/>
          <w:start w:val="single" w:sz="7" w:color="D6E3DF"/>
          <w:bottom w:val="single" w:sz="7" w:color="D6E3DF"/>
          <w:end w:val="single" w:sz="7" w:color="D6E3DF"/>
        </w:tblBorders>
      </w:tblPr>
      <w:tblGrid>
        <w:gridCol w:w="9360"/>
      </w:tblGrid>
      <w:tr>
        <w:tc>
          <w:tcPr>
            <w:tcW w:type="dxa" w:w="9360"/>
            <w:tcMar>
              <w:top w:w="110" w:type="dxa"/>
              <w:start w:w="120" w:type="dxa"/>
              <w:bottom w:w="110" w:type="dxa"/>
              <w:end w:w="120" w:type="dxa"/>
            </w:tcMar>
            <w:shd w:fill="F4F7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23D34"/>
                <w:sz w:val="20"/>
              </w:rPr>
              <w:t xml:space="preserve">CONTRATANTE  </w:t>
            </w:r>
            <w:r>
              <w:rPr>
                <w:rFonts w:ascii="Calibri" w:hAnsi="Calibri"/>
                <w:color w:val="173A33"/>
                <w:sz w:val="20"/>
              </w:rPr>
              <w:t>PG Martins Clinica Médica Ltda, pessoa jurídica de direito privado, inscrita no CNPJ sob nº 26.861.296/0001-29 e Inscrição Estadual nº 562.006.559.119, com sede na Avenida Tenente Nicolau Maffei, nº 1320, Bairro Centro, Presidente Prudente/SP, CEP 19010-010, e-mail [E-MAIL], telefone (18) 3217-3165 e celular (18) 99755-1234.</w:t>
            </w:r>
          </w:p>
        </w:tc>
      </w:tr>
    </w:tbl>
    <w:p>
      <w:pPr>
        <w:spacing w:after="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7" w:color="D6E3DF"/>
          <w:start w:val="single" w:sz="7" w:color="D6E3DF"/>
          <w:bottom w:val="single" w:sz="7" w:color="D6E3DF"/>
          <w:end w:val="single" w:sz="7" w:color="D6E3DF"/>
        </w:tblBorders>
      </w:tblPr>
      <w:tblGrid>
        <w:gridCol w:w="9360"/>
      </w:tblGrid>
      <w:tr>
        <w:tc>
          <w:tcPr>
            <w:tcW w:type="dxa" w:w="9360"/>
            <w:tcMar>
              <w:top w:w="110" w:type="dxa"/>
              <w:start w:w="120" w:type="dxa"/>
              <w:bottom w:w="110" w:type="dxa"/>
              <w:end w:w="120" w:type="dxa"/>
            </w:tcMar>
            <w:shd w:fill="F4F7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23D34"/>
                <w:sz w:val="20"/>
              </w:rPr>
              <w:t xml:space="preserve">CONTRATADA  </w:t>
            </w:r>
            <w:r>
              <w:rPr>
                <w:rFonts w:ascii="Calibri" w:hAnsi="Calibri"/>
                <w:color w:val="173A33"/>
                <w:sz w:val="20"/>
              </w:rPr>
              <w:t>VITOR THADEU MAGIOR MILANEZ TECNOLOGIA DA INFORMACAO LTDA, pessoa jurídica de direito privado, inscrita no CNPJ sob nº 61.433.378/0001-73, com endereço em [ENDEREÇO COMPLETO], e-mail vitor.milanezz@gmail.com e telefone (11) 97093-6116.</w:t>
            </w:r>
          </w:p>
        </w:tc>
      </w:tr>
    </w:tbl>
    <w:p>
      <w:pPr>
        <w:spacing w:after="0"/>
      </w:pPr>
    </w:p>
    <w:p>
      <w:pPr>
        <w:spacing w:after="160" w:line="269" w:lineRule="auto"/>
      </w:pPr>
      <w:r>
        <w:rPr>
          <w:rFonts w:ascii="Calibri" w:hAnsi="Calibri"/>
          <w:i w:val="0"/>
          <w:color w:val="607A73"/>
          <w:sz w:val="20"/>
        </w:rPr>
        <w:t>Contratante e Contratada são denominadas, em conjunto, “Partes”.</w:t>
      </w:r>
    </w:p>
    <w:p>
      <w:pPr>
        <w:pStyle w:val="Heading1"/>
        <w:keepNext/>
        <w:spacing w:before="180" w:after="80"/>
      </w:pPr>
      <w:r>
        <w:rPr>
          <w:rFonts w:ascii="Calibri" w:hAnsi="Calibri"/>
          <w:b/>
          <w:color w:val="123D34"/>
          <w:sz w:val="26"/>
        </w:rPr>
        <w:t>1. OBJETO</w:t>
      </w:r>
    </w:p>
    <w:p>
      <w:pPr>
        <w:spacing w:after="100" w:line="269" w:lineRule="auto"/>
      </w:pPr>
      <w:r>
        <w:rPr>
          <w:rFonts w:ascii="Calibri" w:hAnsi="Calibri"/>
          <w:i w:val="0"/>
          <w:color w:val="173A33"/>
          <w:sz w:val="20"/>
        </w:rPr>
        <w:t>1.1. A Contratada criará, desenvolverá, testará e entregará o MVP do Instituto Vivance conforme o Anexo I, incluindo desenho de produto, software, documentação curta e apoio à validação.</w:t>
      </w:r>
    </w:p>
    <w:p>
      <w:pPr>
        <w:spacing w:after="100" w:line="269" w:lineRule="auto"/>
      </w:pPr>
      <w:r>
        <w:rPr>
          <w:rFonts w:ascii="Calibri" w:hAnsi="Calibri"/>
          <w:i w:val="0"/>
          <w:color w:val="173A33"/>
          <w:sz w:val="20"/>
        </w:rPr>
        <w:t>1.2. O MVP servirá para validar a jornada antes, durante e depois da consulta. A construção começará com dados fictícios e poderá evoluir conforme os aprendizados do projeto.</w:t>
      </w:r>
    </w:p>
    <w:p>
      <w:pPr>
        <w:spacing w:after="100" w:line="269" w:lineRule="auto"/>
      </w:pPr>
      <w:r>
        <w:rPr>
          <w:rFonts w:ascii="Calibri" w:hAnsi="Calibri"/>
          <w:i w:val="0"/>
          <w:color w:val="173A33"/>
          <w:sz w:val="20"/>
        </w:rPr>
        <w:t>1.3. O projeto não garante resultado clínico, financeiro, regulatório, comercial ou de captação de investimento.</w:t>
      </w:r>
    </w:p>
    <w:p>
      <w:pPr>
        <w:pStyle w:val="Heading1"/>
        <w:keepNext/>
        <w:spacing w:before="180" w:after="80"/>
      </w:pPr>
      <w:r>
        <w:rPr>
          <w:rFonts w:ascii="Calibri" w:hAnsi="Calibri"/>
          <w:b/>
          <w:color w:val="123D34"/>
          <w:sz w:val="26"/>
        </w:rPr>
        <w:t>2. FORMA DE TRABALHO</w:t>
      </w:r>
    </w:p>
    <w:p>
      <w:pPr>
        <w:spacing w:after="100" w:line="269" w:lineRule="auto"/>
      </w:pPr>
      <w:r>
        <w:rPr>
          <w:rFonts w:ascii="Calibri" w:hAnsi="Calibri"/>
          <w:i w:val="0"/>
          <w:color w:val="173A33"/>
          <w:sz w:val="20"/>
        </w:rPr>
        <w:t>2.1. As Partes trabalharão de forma colaborativa, com prioridades registradas em um plano simples de trabalho e demonstrações periódicas.</w:t>
      </w:r>
    </w:p>
    <w:p>
      <w:pPr>
        <w:spacing w:after="100" w:line="269" w:lineRule="auto"/>
      </w:pPr>
      <w:r>
        <w:rPr>
          <w:rFonts w:ascii="Calibri" w:hAnsi="Calibri"/>
          <w:i w:val="0"/>
          <w:color w:val="173A33"/>
          <w:sz w:val="20"/>
        </w:rPr>
        <w:t>2.2. Ajustes pequenos de prioridade ou solução poderão ser combinados por mensagem, sem aditivo, desde que não aumentem de forma relevante o esforço ou o objetivo do MVP. Novas funcionalidades, integrações de produção ou ampliações materiais dependerão de orçamento aprovado.</w:t>
      </w:r>
    </w:p>
    <w:p>
      <w:pPr>
        <w:spacing w:after="100" w:line="269" w:lineRule="auto"/>
      </w:pPr>
      <w:r>
        <w:rPr>
          <w:rFonts w:ascii="Calibri" w:hAnsi="Calibri"/>
          <w:i w:val="0"/>
          <w:color w:val="173A33"/>
          <w:sz w:val="20"/>
        </w:rPr>
        <w:t>2.3. A execução começa após a assinatura, o pagamento da primeira parcela e o recebimento dos insumos básicos. O andamento acompanhará a complexidade, as validações e as dependências do projeto, sem prazo contratual fixo de seis meses.</w:t>
      </w:r>
    </w:p>
    <w:p>
      <w:pPr>
        <w:spacing w:after="100" w:line="269" w:lineRule="auto"/>
      </w:pPr>
      <w:r>
        <w:rPr>
          <w:rFonts w:ascii="Calibri" w:hAnsi="Calibri"/>
          <w:i w:val="0"/>
          <w:color w:val="173A33"/>
          <w:sz w:val="20"/>
        </w:rPr>
        <w:t>2.4. Entregas serão revisadas ao longo do projeto. Correções de itens já incluídos no Anexo I não terão custo adicional. Defeitos reproduzíveis informados em até 30 dias após a entrega final também serão corrigidos; melhorias e mudanças externas ficam fora dessa garantia.</w:t>
      </w:r>
    </w:p>
    <w:p>
      <w:pPr>
        <w:pStyle w:val="Heading1"/>
        <w:keepNext/>
        <w:spacing w:before="180" w:after="80"/>
      </w:pPr>
      <w:r>
        <w:rPr>
          <w:rFonts w:ascii="Calibri" w:hAnsi="Calibri"/>
          <w:b/>
          <w:color w:val="123D34"/>
          <w:sz w:val="26"/>
        </w:rPr>
        <w:t>3. PREÇO E PAGAMENTOS</w:t>
      </w:r>
    </w:p>
    <w:p>
      <w:pPr>
        <w:spacing w:after="100" w:line="269" w:lineRule="auto"/>
      </w:pPr>
      <w:r>
        <w:rPr>
          <w:rFonts w:ascii="Calibri" w:hAnsi="Calibri"/>
          <w:i w:val="0"/>
          <w:color w:val="173A33"/>
          <w:sz w:val="20"/>
        </w:rPr>
        <w:t>3.1. O custo mensal de desenvolvimento é de R$ 5.000,00 (cinco mil reais). O valor global e total contratado para o MVP é de R$ 30.000,00 (trinta mil reais).</w:t>
      </w:r>
    </w:p>
    <w:p>
      <w:pPr>
        <w:spacing w:after="100" w:line="269" w:lineRule="auto"/>
      </w:pPr>
      <w:r>
        <w:rPr>
          <w:rFonts w:ascii="Calibri" w:hAnsi="Calibri"/>
          <w:i w:val="0"/>
          <w:color w:val="173A33"/>
          <w:sz w:val="20"/>
        </w:rPr>
        <w:t>3.2. Os pagamentos mensais vencem todo dia 20, sendo a primeira parcela em 20/09/2026 e as demais no dia 20 dos meses seguintes.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7" w:color="D6E3DF"/>
          <w:start w:val="single" w:sz="7" w:color="D6E3DF"/>
          <w:bottom w:val="single" w:sz="7" w:color="D6E3DF"/>
          <w:end w:val="single" w:sz="7" w:color="D6E3DF"/>
        </w:tblBorders>
      </w:tblPr>
      <w:tblGrid>
        <w:gridCol w:w="9360"/>
      </w:tblGrid>
      <w:tr>
        <w:tc>
          <w:tcPr>
            <w:tcW w:type="dxa" w:w="9360"/>
            <w:tcMar>
              <w:top w:w="110" w:type="dxa"/>
              <w:start w:w="120" w:type="dxa"/>
              <w:bottom w:w="110" w:type="dxa"/>
              <w:end w:w="120" w:type="dxa"/>
            </w:tcMar>
            <w:shd w:fill="E8F4F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23D34"/>
                <w:sz w:val="20"/>
              </w:rPr>
              <w:t xml:space="preserve">IMPORTANTE  </w:t>
            </w:r>
            <w:r>
              <w:rPr>
                <w:rFonts w:ascii="Calibri" w:hAnsi="Calibri"/>
                <w:color w:val="173A33"/>
                <w:sz w:val="20"/>
              </w:rPr>
              <w:t>O valor mensal de R$ 5.000,00 é a forma de pagamento do desenvolvimento. Se o MVP terminar antes, o valor total de R$ 30.000,00 continua devido e o saldo será acertado na entrega final.</w:t>
            </w:r>
          </w:p>
        </w:tc>
      </w:tr>
    </w:tbl>
    <w:p>
      <w:pPr>
        <w:spacing w:after="0"/>
      </w:pPr>
    </w:p>
    <w:p>
      <w:pPr>
        <w:keepLines/>
        <w:spacing w:after="100" w:line="269" w:lineRule="auto"/>
      </w:pPr>
      <w:r>
        <w:rPr>
          <w:rFonts w:ascii="Calibri" w:hAnsi="Calibri"/>
          <w:i w:val="0"/>
          <w:color w:val="173A33"/>
          <w:sz w:val="20"/>
        </w:rPr>
        <w:t>3.3. Caso o MVP seja concluído antes de seis pagamentos mensais, o valor total devido continuará sendo de R$ 30.000,00. O saldo remanescente será acertado na entrega final, pois a Contratada poderá organizar e acelerar o processo de desenvolvimento sem redução do preço global.</w:t>
      </w:r>
    </w:p>
    <w:p>
      <w:pPr>
        <w:spacing w:after="100" w:line="269" w:lineRule="auto"/>
      </w:pPr>
      <w:r>
        <w:rPr>
          <w:rFonts w:ascii="Calibri" w:hAnsi="Calibri"/>
          <w:i w:val="0"/>
          <w:color w:val="173A33"/>
          <w:sz w:val="20"/>
        </w:rPr>
        <w:t>3.4. Não estão incluídos no valor mensal nem no valor global: ferramentas, licenças, modelos de IA, uso de IA, APIs, nuvem, servidores, mensageria, domínio, certificados ou outros fornecedores. Esses custos somente poderão ser contratados ou cobrados após apresentação e aprovação prévia da Contratante.</w:t>
      </w:r>
    </w:p>
    <w:p>
      <w:pPr>
        <w:spacing w:after="100" w:line="269" w:lineRule="auto"/>
      </w:pPr>
      <w:r>
        <w:rPr>
          <w:rFonts w:ascii="Calibri" w:hAnsi="Calibri"/>
          <w:i w:val="0"/>
          <w:color w:val="173A33"/>
          <w:sz w:val="20"/>
        </w:rPr>
        <w:t>3.5. Atrasos superiores a 10 dias poderão suspender o trabalho após aviso por escrito, com ajuste natural do cronograma. A Contratada emitirá o documento fiscal aplicável.</w:t>
      </w:r>
    </w:p>
    <w:p>
      <w:pPr>
        <w:pStyle w:val="Heading1"/>
        <w:keepNext/>
        <w:spacing w:before="180" w:after="80"/>
      </w:pPr>
      <w:r>
        <w:rPr>
          <w:rFonts w:ascii="Calibri" w:hAnsi="Calibri"/>
          <w:b/>
          <w:color w:val="123D34"/>
          <w:sz w:val="26"/>
        </w:rPr>
        <w:t>4. RESPONSABILIDADES</w:t>
      </w:r>
    </w:p>
    <w:p>
      <w:pPr>
        <w:pStyle w:val="Heading2"/>
        <w:keepNext/>
        <w:spacing w:before="140" w:after="60"/>
      </w:pPr>
      <w:r>
        <w:rPr>
          <w:rFonts w:ascii="Calibri" w:hAnsi="Calibri"/>
          <w:b/>
          <w:color w:val="0B7D6B"/>
          <w:sz w:val="22"/>
        </w:rPr>
        <w:t>Da Contratada</w:t>
      </w:r>
    </w:p>
    <w:p>
      <w:pPr>
        <w:spacing w:after="100" w:line="269" w:lineRule="auto"/>
      </w:pPr>
      <w:r>
        <w:rPr>
          <w:rFonts w:ascii="Calibri" w:hAnsi="Calibri"/>
          <w:i w:val="0"/>
          <w:color w:val="173A33"/>
          <w:sz w:val="20"/>
        </w:rPr>
        <w:t>4.1. Desenvolver o MVP com diligência técnica; comunicar andamento, riscos e decisões importantes; proteger informações recebidas; usar dados fictícios durante a construção; e entregar, ao final e após a quitação, o código, a documentação e os acessos do projeto que estejam sob sua gestão.</w:t>
      </w:r>
    </w:p>
    <w:p>
      <w:pPr>
        <w:pStyle w:val="Heading2"/>
        <w:keepNext/>
        <w:spacing w:before="140" w:after="60"/>
      </w:pPr>
      <w:r>
        <w:rPr>
          <w:rFonts w:ascii="Calibri" w:hAnsi="Calibri"/>
          <w:b/>
          <w:color w:val="0B7D6B"/>
          <w:sz w:val="22"/>
        </w:rPr>
        <w:t>Da Contratante</w:t>
      </w:r>
    </w:p>
    <w:p>
      <w:pPr>
        <w:spacing w:after="100" w:line="269" w:lineRule="auto"/>
      </w:pPr>
      <w:r>
        <w:rPr>
          <w:rFonts w:ascii="Calibri" w:hAnsi="Calibri"/>
          <w:i w:val="0"/>
          <w:color w:val="173A33"/>
          <w:sz w:val="20"/>
        </w:rPr>
        <w:t>4.2. Fornecer informações, identidade visual, protocolos, acessos e decisões necessários; indicar quem aprova o produto; revisar as entregas em prazo razoável; pagar os valores contratados; e validar todo conteúdo clínico antes de uso com pacientes.</w:t>
      </w:r>
    </w:p>
    <w:p>
      <w:pPr>
        <w:spacing w:after="100" w:line="269" w:lineRule="auto"/>
      </w:pPr>
      <w:r>
        <w:rPr>
          <w:rFonts w:ascii="Calibri" w:hAnsi="Calibri"/>
          <w:i w:val="0"/>
          <w:color w:val="173A33"/>
          <w:sz w:val="20"/>
        </w:rPr>
        <w:t>4.3. As Partes cooperarão para resolver impedimentos e ajustar prioridades sem burocracia desnecessária, preservando o preço e o objetivo global do MVP.</w:t>
      </w:r>
    </w:p>
    <w:p>
      <w:pPr>
        <w:pStyle w:val="Heading1"/>
        <w:keepNext/>
        <w:spacing w:before="180" w:after="80"/>
      </w:pPr>
      <w:r>
        <w:rPr>
          <w:rFonts w:ascii="Calibri" w:hAnsi="Calibri"/>
          <w:b/>
          <w:color w:val="123D34"/>
          <w:sz w:val="26"/>
        </w:rPr>
        <w:t>5. INTELIGÊNCIA ARTIFICIAL E SEGURANÇA CLÍNICA</w:t>
      </w:r>
    </w:p>
    <w:p>
      <w:pPr>
        <w:spacing w:after="100" w:line="269" w:lineRule="auto"/>
      </w:pPr>
      <w:r>
        <w:rPr>
          <w:rFonts w:ascii="Calibri" w:hAnsi="Calibri"/>
          <w:i w:val="0"/>
          <w:color w:val="173A33"/>
          <w:sz w:val="20"/>
        </w:rPr>
        <w:t>5.1. A IA poderá organizar informações, resumir conversas, preparar rascunhos, destacar padrões, sugerir perguntas e apoiar relatórios.</w:t>
      </w:r>
    </w:p>
    <w:p>
      <w:pPr>
        <w:spacing w:after="100" w:line="269" w:lineRule="auto"/>
      </w:pPr>
      <w:r>
        <w:rPr>
          <w:rFonts w:ascii="Calibri" w:hAnsi="Calibri"/>
          <w:i w:val="0"/>
          <w:color w:val="173A33"/>
          <w:sz w:val="20"/>
        </w:rPr>
        <w:t>5.2. A IA não poderá diagnosticar, prescrever, emitir receita, alterar tratamento ou dose, substituir atendimento de urgência nem tomar decisão clínica de forma autônoma.</w:t>
      </w:r>
    </w:p>
    <w:p>
      <w:pPr>
        <w:spacing w:after="100" w:line="269" w:lineRule="auto"/>
      </w:pPr>
      <w:r>
        <w:rPr>
          <w:rFonts w:ascii="Calibri" w:hAnsi="Calibri"/>
          <w:i w:val="0"/>
          <w:color w:val="173A33"/>
          <w:sz w:val="20"/>
        </w:rPr>
        <w:t>5.3. Todo conteúdo clínico gerado por IA será tratado como rascunho sujeito a erro e dependerá da revisão do médico responsável antes de orientar o paciente. A responsabilidade pela avaliação e pela conduta clínica permanece com o profissional de saúde.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7" w:color="D6E3DF"/>
          <w:start w:val="single" w:sz="7" w:color="D6E3DF"/>
          <w:bottom w:val="single" w:sz="7" w:color="D6E3DF"/>
          <w:end w:val="single" w:sz="7" w:color="D6E3DF"/>
        </w:tblBorders>
      </w:tblPr>
      <w:tblGrid>
        <w:gridCol w:w="9360"/>
      </w:tblGrid>
      <w:tr>
        <w:tc>
          <w:tcPr>
            <w:tcW w:type="dxa" w:w="9360"/>
            <w:tcMar>
              <w:top w:w="110" w:type="dxa"/>
              <w:start w:w="120" w:type="dxa"/>
              <w:bottom w:w="110" w:type="dxa"/>
              <w:end w:w="120" w:type="dxa"/>
            </w:tcMar>
            <w:shd w:fill="FFF3D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23D34"/>
                <w:sz w:val="20"/>
              </w:rPr>
              <w:t xml:space="preserve">REGRA DO PRODUTO  </w:t>
            </w:r>
            <w:r>
              <w:rPr>
                <w:rFonts w:ascii="Calibri" w:hAnsi="Calibri"/>
                <w:color w:val="173A33"/>
                <w:sz w:val="20"/>
              </w:rPr>
              <w:t>A IA organiza e sugere. O médico revisa e decide.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180" w:after="80"/>
      </w:pPr>
      <w:r>
        <w:rPr>
          <w:rFonts w:ascii="Calibri" w:hAnsi="Calibri"/>
          <w:b/>
          <w:color w:val="123D34"/>
          <w:sz w:val="26"/>
        </w:rPr>
        <w:t>6. PRIVACIDADE E CONFIDENCIALIDADE</w:t>
      </w:r>
    </w:p>
    <w:p>
      <w:pPr>
        <w:spacing w:after="100" w:line="269" w:lineRule="auto"/>
      </w:pPr>
      <w:r>
        <w:rPr>
          <w:rFonts w:ascii="Calibri" w:hAnsi="Calibri"/>
          <w:i w:val="0"/>
          <w:color w:val="173A33"/>
          <w:sz w:val="20"/>
        </w:rPr>
        <w:t>6.1. As Partes protegerão informações técnicas, comerciais, clínicas e pessoais recebidas durante o projeto e as usarão apenas para esta contratação. O dever de sigilo continua após o encerramento enquanto a informação permanecer confidencial ou a lei exigir proteção.</w:t>
      </w:r>
    </w:p>
    <w:p>
      <w:pPr>
        <w:spacing w:after="100" w:line="269" w:lineRule="auto"/>
      </w:pPr>
      <w:r>
        <w:rPr>
          <w:rFonts w:ascii="Calibri" w:hAnsi="Calibri"/>
          <w:i w:val="0"/>
          <w:color w:val="173A33"/>
          <w:sz w:val="20"/>
        </w:rPr>
        <w:t>6.2. Dados reais de pacientes somente poderão ser usados depois de decisão expressa da Contratante e da definição, por escrito, de finalidade, base legal, perfis de acesso, fornecedores, retenção, segurança e resposta a incidentes, conforme a Lei nº 13.709/2018 (LGPD). Até lá, serão usados dados fictícios ou adequadamente anonimizados.</w:t>
      </w:r>
    </w:p>
    <w:p>
      <w:pPr>
        <w:spacing w:after="100" w:line="269" w:lineRule="auto"/>
      </w:pPr>
      <w:r>
        <w:rPr>
          <w:rFonts w:ascii="Calibri" w:hAnsi="Calibri"/>
          <w:i w:val="0"/>
          <w:color w:val="173A33"/>
          <w:sz w:val="20"/>
        </w:rPr>
        <w:t>6.3. Nenhuma das Partes poderá usar dados de pacientes para finalidade própria, publicidade ou treinamento de modelos sem autorização específica e base legal adequada. Qualquer incidente relevante será comunicado à outra Parte sem demora indevida.</w:t>
      </w:r>
    </w:p>
    <w:p>
      <w:pPr>
        <w:pStyle w:val="Heading1"/>
        <w:keepNext/>
        <w:spacing w:before="180" w:after="80"/>
      </w:pPr>
      <w:r>
        <w:rPr>
          <w:rFonts w:ascii="Calibri" w:hAnsi="Calibri"/>
          <w:b/>
          <w:color w:val="123D34"/>
          <w:sz w:val="26"/>
        </w:rPr>
        <w:t>7. PROPRIEDADE INTELECTUAL E USO</w:t>
      </w:r>
    </w:p>
    <w:p>
      <w:pPr>
        <w:spacing w:after="100" w:line="269" w:lineRule="auto"/>
      </w:pPr>
      <w:r>
        <w:rPr>
          <w:rFonts w:ascii="Calibri" w:hAnsi="Calibri"/>
          <w:i w:val="0"/>
          <w:color w:val="173A33"/>
          <w:sz w:val="20"/>
        </w:rPr>
        <w:t>7.1. Cada Parte mantém a titularidade de suas marcas, conteúdos, códigos, métodos, ferramentas e materiais já existentes. A Contratante permanece titular de sua marca, seus protocolos, seus dados e seus conteúdos.</w:t>
      </w:r>
    </w:p>
    <w:p>
      <w:pPr>
        <w:spacing w:after="100" w:line="269" w:lineRule="auto"/>
      </w:pPr>
      <w:r>
        <w:rPr>
          <w:rFonts w:ascii="Calibri" w:hAnsi="Calibri"/>
          <w:i w:val="0"/>
          <w:color w:val="173A33"/>
          <w:sz w:val="20"/>
        </w:rPr>
        <w:t>7.2. Após o pagamento integral, a Contratante receberá o código e a documentação do MVP e poderá usá-lo, mantê-lo e adaptá-lo de forma permanente na operação do Instituto Vivance.</w:t>
      </w:r>
    </w:p>
    <w:p>
      <w:pPr>
        <w:spacing w:after="100" w:line="269" w:lineRule="auto"/>
      </w:pPr>
      <w:r>
        <w:rPr>
          <w:rFonts w:ascii="Calibri" w:hAnsi="Calibri"/>
          <w:i w:val="0"/>
          <w:color w:val="173A33"/>
          <w:sz w:val="20"/>
        </w:rPr>
        <w:t>7.3. A Contratada poderá reutilizar conhecimento, estruturas e componentes genéricos que não revelem dados, marca, protocolos ou segredos da Contratante. Bibliotecas de terceiros continuarão sujeitas às respectivas licenças.</w:t>
      </w:r>
    </w:p>
    <w:p>
      <w:pPr>
        <w:spacing w:after="100" w:line="269" w:lineRule="auto"/>
      </w:pPr>
      <w:r>
        <w:rPr>
          <w:rFonts w:ascii="Calibri" w:hAnsi="Calibri"/>
          <w:i w:val="0"/>
          <w:color w:val="173A33"/>
          <w:sz w:val="20"/>
        </w:rPr>
        <w:t>7.4. A venda, o licenciamento ou a oferta do produto para outras clínicas não está incluída nesta Fase 1 e será organizada na Fase 2.</w:t>
      </w:r>
    </w:p>
    <w:p>
      <w:pPr>
        <w:pStyle w:val="Heading1"/>
        <w:keepNext/>
        <w:spacing w:before="180" w:after="80"/>
      </w:pPr>
      <w:r>
        <w:rPr>
          <w:rFonts w:ascii="Calibri" w:hAnsi="Calibri"/>
          <w:b/>
          <w:color w:val="123D34"/>
          <w:sz w:val="26"/>
        </w:rPr>
        <w:t>8. ENCERRAMENTO</w:t>
      </w:r>
    </w:p>
    <w:p>
      <w:pPr>
        <w:spacing w:after="100" w:line="269" w:lineRule="auto"/>
      </w:pPr>
      <w:r>
        <w:rPr>
          <w:rFonts w:ascii="Calibri" w:hAnsi="Calibri"/>
          <w:i w:val="0"/>
          <w:color w:val="173A33"/>
          <w:sz w:val="20"/>
        </w:rPr>
        <w:t>8.1. Este contrato entra em vigor em 1º de setembro de 2026 e permanece válido até a entrega do MVP e a quitação integral dos valores.</w:t>
      </w:r>
    </w:p>
    <w:p>
      <w:pPr>
        <w:spacing w:after="100" w:line="269" w:lineRule="auto"/>
      </w:pPr>
      <w:r>
        <w:rPr>
          <w:rFonts w:ascii="Calibri" w:hAnsi="Calibri"/>
          <w:i w:val="0"/>
          <w:color w:val="173A33"/>
          <w:sz w:val="20"/>
        </w:rPr>
        <w:t>8.2. Qualquer Parte poderá encerrar o contrato mediante aviso escrito com 15 dias de antecedência. Nesse caso, a Contratante pagará o trabalho efetivamente realizado e os custos externos já aprovados e não canceláveis; a Contratada entregará os materiais correspondentes aos valores pagos e devolverá eventual valor recebido por trabalho não executado.</w:t>
      </w:r>
    </w:p>
    <w:p>
      <w:pPr>
        <w:spacing w:after="100" w:line="269" w:lineRule="auto"/>
      </w:pPr>
      <w:r>
        <w:rPr>
          <w:rFonts w:ascii="Calibri" w:hAnsi="Calibri"/>
          <w:i w:val="0"/>
          <w:color w:val="173A33"/>
          <w:sz w:val="20"/>
        </w:rPr>
        <w:t>8.3. Descumprimento relevante deverá ser comunicado e, sempre que possível, corrigido antes do encerramento imediato. Situações urgentes de segurança, confidencialidade ou proteção de dados poderão justificar suspensão imediata.</w:t>
      </w:r>
    </w:p>
    <w:p>
      <w:pPr>
        <w:pStyle w:val="Heading1"/>
        <w:keepNext/>
        <w:spacing w:before="180" w:after="80"/>
      </w:pPr>
      <w:r>
        <w:rPr>
          <w:rFonts w:ascii="Calibri" w:hAnsi="Calibri"/>
          <w:b/>
          <w:color w:val="123D34"/>
          <w:sz w:val="26"/>
        </w:rPr>
        <w:t>9. POSSÍVEL FASE 2</w:t>
      </w:r>
    </w:p>
    <w:p>
      <w:pPr>
        <w:spacing w:after="100" w:line="269" w:lineRule="auto"/>
      </w:pPr>
      <w:r>
        <w:rPr>
          <w:rFonts w:ascii="Calibri" w:hAnsi="Calibri"/>
          <w:i w:val="0"/>
          <w:color w:val="173A33"/>
          <w:sz w:val="20"/>
        </w:rPr>
        <w:t>9.1. Se o MVP for validado e as Partes decidirem comercializá-lo para outras clínicas ou mercados, celebrarão contrato separado para a Fase 2.</w:t>
      </w:r>
    </w:p>
    <w:p>
      <w:pPr>
        <w:spacing w:after="100" w:line="269" w:lineRule="auto"/>
      </w:pPr>
      <w:r>
        <w:rPr>
          <w:rFonts w:ascii="Calibri" w:hAnsi="Calibri"/>
          <w:i w:val="0"/>
          <w:color w:val="173A33"/>
          <w:sz w:val="20"/>
        </w:rPr>
        <w:t>9.2. As Partes registram a intenção de considerar participação comercial de 15% em favor da Contratada nessa fase. Base de cálculo, prazo, responsabilidades, investimentos, parceiros e demais condições serão definidos somente no contrato da Fase 2.</w:t>
      </w:r>
    </w:p>
    <w:p>
      <w:pPr>
        <w:spacing w:after="100" w:line="269" w:lineRule="auto"/>
      </w:pPr>
      <w:r>
        <w:rPr>
          <w:rFonts w:ascii="Calibri" w:hAnsi="Calibri"/>
          <w:i w:val="0"/>
          <w:color w:val="173A33"/>
          <w:sz w:val="20"/>
        </w:rPr>
        <w:t>9.3. Este contrato não cria participação societária, equity, comissão atual, exclusividade ou obrigação de iniciar a Fase 2.</w:t>
      </w:r>
    </w:p>
    <w:p>
      <w:pPr>
        <w:pStyle w:val="Heading1"/>
        <w:keepNext/>
        <w:spacing w:before="180" w:after="80"/>
      </w:pPr>
      <w:r>
        <w:rPr>
          <w:rFonts w:ascii="Calibri" w:hAnsi="Calibri"/>
          <w:b/>
          <w:color w:val="123D34"/>
          <w:sz w:val="26"/>
        </w:rPr>
        <w:t>10. REGRAS GERAIS</w:t>
      </w:r>
    </w:p>
    <w:p>
      <w:pPr>
        <w:spacing w:after="100" w:line="269" w:lineRule="auto"/>
      </w:pPr>
      <w:r>
        <w:rPr>
          <w:rFonts w:ascii="Calibri" w:hAnsi="Calibri"/>
          <w:i w:val="0"/>
          <w:color w:val="173A33"/>
          <w:sz w:val="20"/>
        </w:rPr>
        <w:t>10.1. As Partes são independentes. Este contrato não cria vínculo trabalhista, sociedade, representação ou exclusividade.</w:t>
      </w:r>
    </w:p>
    <w:p>
      <w:pPr>
        <w:spacing w:after="100" w:line="269" w:lineRule="auto"/>
      </w:pPr>
      <w:r>
        <w:rPr>
          <w:rFonts w:ascii="Calibri" w:hAnsi="Calibri"/>
          <w:i w:val="0"/>
          <w:color w:val="173A33"/>
          <w:sz w:val="20"/>
        </w:rPr>
        <w:t>10.2. Aprovações e avisos poderão ser feitos por e-mail ou outro canal eletrônico indicado pelas Partes, desde que seja possível identificar o conteúdo e quem o enviou.</w:t>
      </w:r>
    </w:p>
    <w:p>
      <w:pPr>
        <w:spacing w:after="100" w:line="269" w:lineRule="auto"/>
      </w:pPr>
      <w:r>
        <w:rPr>
          <w:rFonts w:ascii="Calibri" w:hAnsi="Calibri"/>
          <w:i w:val="0"/>
          <w:color w:val="173A33"/>
          <w:sz w:val="20"/>
        </w:rPr>
        <w:t>10.3. Este documento poderá ser assinado eletronicamente e será regido pelas leis brasileiras. Fica eleito o foro da Comarca de [COMARCA/UF], salvo regra legal obrigatória em sentido diferente.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7" w:color="D6E3DF"/>
          <w:start w:val="single" w:sz="7" w:color="D6E3DF"/>
          <w:bottom w:val="single" w:sz="7" w:color="D6E3DF"/>
          <w:end w:val="single" w:sz="7" w:color="D6E3DF"/>
        </w:tblBorders>
      </w:tblPr>
      <w:tblGrid>
        <w:gridCol w:w="9360"/>
      </w:tblGrid>
      <w:tr>
        <w:tc>
          <w:tcPr>
            <w:tcW w:type="dxa" w:w="9360"/>
            <w:tcMar>
              <w:top w:w="110" w:type="dxa"/>
              <w:start w:w="120" w:type="dxa"/>
              <w:bottom w:w="110" w:type="dxa"/>
              <w:end w:w="120" w:type="dxa"/>
            </w:tcMar>
            <w:shd w:fill="FFF3D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23D34"/>
                <w:sz w:val="20"/>
              </w:rPr>
              <w:t xml:space="preserve">ANTES DE ASSINAR  </w:t>
            </w:r>
            <w:r>
              <w:rPr>
                <w:rFonts w:ascii="Calibri" w:hAnsi="Calibri"/>
                <w:color w:val="173A33"/>
                <w:sz w:val="20"/>
              </w:rPr>
              <w:t>Preencher os campos entre colchetes e submeter esta minuta à revisão de advogado brasileiro, especialmente quanto à qualificação das Partes, tributação, propriedade intelectual, LGPD e condições da Fase 2.</w:t>
            </w:r>
          </w:p>
        </w:tc>
      </w:tr>
    </w:tbl>
    <w:p>
      <w:pPr>
        <w:spacing w:after="0"/>
      </w:pPr>
    </w:p>
    <w:p>
      <w:pPr>
        <w:pageBreakBefore/>
        <w:spacing w:before="280" w:after="240"/>
        <w:jc w:val="center"/>
      </w:pPr>
      <w:r>
        <w:rPr>
          <w:rFonts w:ascii="Calibri" w:hAnsi="Calibri"/>
          <w:b/>
          <w:color w:val="173A33"/>
          <w:sz w:val="20"/>
        </w:rPr>
        <w:t>[CIDADE], [DATA].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0" w:color="FFFFFF"/>
          <w:start w:val="single" w:sz="0" w:color="FFFFFF"/>
          <w:bottom w:val="single" w:sz="0" w:color="FFFFFF"/>
          <w:end w:val="single" w:sz="0" w:color="FFFFFF"/>
          <w:insideH w:val="single" w:sz="0" w:color="FFFFFF"/>
          <w:insideV w:val="single" w:sz="0" w:color="FFFFFF"/>
        </w:tblBorders>
      </w:tblPr>
      <w:tblGrid>
        <w:gridCol w:w="4680"/>
        <w:gridCol w:w="4680"/>
      </w:tblGrid>
      <w:tr>
        <w:trPr>
          <w:cantSplit w:val="true"/>
        </w:trPr>
        <w:tc>
          <w:tcPr>
            <w:tcW w:type="dxa" w:w="468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73A33"/>
                <w:sz w:val="20"/>
              </w:rPr>
              <w:t>__________________________________</w:t>
            </w:r>
          </w:p>
        </w:tc>
        <w:tc>
          <w:tcPr>
            <w:tcW w:type="dxa" w:w="468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73A33"/>
                <w:sz w:val="20"/>
              </w:rPr>
              <w:t>__________________________________</w:t>
            </w:r>
          </w:p>
        </w:tc>
      </w:tr>
      <w:tr>
        <w:trPr>
          <w:cantSplit w:val="true"/>
        </w:trPr>
        <w:tc>
          <w:tcPr>
            <w:tcW w:type="dxa" w:w="468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23D34"/>
                <w:sz w:val="19"/>
              </w:rPr>
              <w:t>CONTRATANTE</w:t>
            </w:r>
          </w:p>
        </w:tc>
        <w:tc>
          <w:tcPr>
            <w:tcW w:type="dxa" w:w="468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23D34"/>
                <w:sz w:val="19"/>
              </w:rPr>
              <w:t>CONTRATADA</w:t>
            </w:r>
          </w:p>
        </w:tc>
      </w:tr>
      <w:tr>
        <w:trPr>
          <w:cantSplit w:val="true"/>
        </w:trPr>
        <w:tc>
          <w:tcPr>
            <w:tcW w:type="dxa" w:w="468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73A33"/>
                <w:sz w:val="17"/>
              </w:rPr>
              <w:t>PG MARTINS CLINICA MÉDICA LTDA</w:t>
            </w:r>
          </w:p>
        </w:tc>
        <w:tc>
          <w:tcPr>
            <w:tcW w:type="dxa" w:w="468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73A33"/>
                <w:sz w:val="17"/>
              </w:rPr>
              <w:t>VITOR THADEU MAGIOR MILANEZ TECNOLOGIA DA INFORMACAO LTDA</w:t>
            </w:r>
          </w:p>
        </w:tc>
      </w:tr>
      <w:tr>
        <w:trPr>
          <w:cantSplit w:val="true"/>
        </w:trPr>
        <w:tc>
          <w:tcPr>
            <w:tcW w:type="dxa" w:w="468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73A33"/>
                <w:sz w:val="18"/>
              </w:rPr>
              <w:t>E-mail: [E-MAIL]</w:t>
            </w:r>
          </w:p>
        </w:tc>
        <w:tc>
          <w:tcPr>
            <w:tcW w:type="dxa" w:w="468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73A33"/>
                <w:sz w:val="18"/>
              </w:rPr>
              <w:t>E-mail: vitor.milanezz@gmail.com</w:t>
            </w:r>
          </w:p>
        </w:tc>
      </w:tr>
    </w:tbl>
    <w:p>
      <w:pPr>
        <w:spacing w:after="100"/>
      </w:pPr>
    </w:p>
    <w:p>
      <w:pPr>
        <w:pStyle w:val="Heading2"/>
        <w:keepNext/>
        <w:spacing w:before="140" w:after="60"/>
      </w:pPr>
      <w:r>
        <w:rPr>
          <w:rFonts w:ascii="Calibri" w:hAnsi="Calibri"/>
          <w:b/>
          <w:color w:val="0B7D6B"/>
          <w:sz w:val="22"/>
        </w:rPr>
        <w:t>Testemunhas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0" w:color="FFFFFF"/>
          <w:start w:val="single" w:sz="0" w:color="FFFFFF"/>
          <w:bottom w:val="single" w:sz="0" w:color="FFFFFF"/>
          <w:end w:val="single" w:sz="0" w:color="FFFFFF"/>
          <w:insideH w:val="single" w:sz="0" w:color="FFFFFF"/>
          <w:insideV w:val="single" w:sz="0" w:color="FFFFFF"/>
        </w:tblBorders>
      </w:tblPr>
      <w:tblGrid>
        <w:gridCol w:w="4680"/>
        <w:gridCol w:w="4680"/>
      </w:tblGrid>
      <w:tr>
        <w:trPr>
          <w:cantSplit w:val="true"/>
        </w:trPr>
        <w:tc>
          <w:tcPr>
            <w:tcW w:type="dxa" w:w="468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173A33"/>
                <w:sz w:val="18"/>
              </w:rPr>
              <w:t>__________________________________</w:t>
            </w:r>
          </w:p>
        </w:tc>
        <w:tc>
          <w:tcPr>
            <w:tcW w:type="dxa" w:w="468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173A33"/>
                <w:sz w:val="18"/>
              </w:rPr>
              <w:t>__________________________________</w:t>
            </w:r>
          </w:p>
        </w:tc>
      </w:tr>
      <w:tr>
        <w:trPr>
          <w:cantSplit w:val="true"/>
        </w:trPr>
        <w:tc>
          <w:tcPr>
            <w:tcW w:type="dxa" w:w="468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173A33"/>
                <w:sz w:val="18"/>
              </w:rPr>
              <w:t>Nome: [PREENCHER]</w:t>
            </w:r>
          </w:p>
        </w:tc>
        <w:tc>
          <w:tcPr>
            <w:tcW w:type="dxa" w:w="468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173A33"/>
                <w:sz w:val="18"/>
              </w:rPr>
              <w:t>Nome: [PREENCHER]</w:t>
            </w:r>
          </w:p>
        </w:tc>
      </w:tr>
      <w:tr>
        <w:trPr>
          <w:cantSplit w:val="true"/>
        </w:trPr>
        <w:tc>
          <w:tcPr>
            <w:tcW w:type="dxa" w:w="468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173A33"/>
                <w:sz w:val="18"/>
              </w:rPr>
              <w:t>CPF: [PREENCHER]</w:t>
            </w:r>
          </w:p>
        </w:tc>
        <w:tc>
          <w:tcPr>
            <w:tcW w:type="dxa" w:w="468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173A33"/>
                <w:sz w:val="18"/>
              </w:rPr>
              <w:t>CPF: [PREENCHER]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Calibri" w:hAnsi="Calibri"/>
          <w:b/>
          <w:color w:val="0B7D6B"/>
          <w:sz w:val="18"/>
        </w:rPr>
        <w:t>ANEXO I</w:t>
      </w:r>
    </w:p>
    <w:p>
      <w:pPr>
        <w:pStyle w:val="Heading1"/>
        <w:spacing w:after="100"/>
      </w:pPr>
      <w:r>
        <w:rPr>
          <w:rFonts w:ascii="Calibri" w:hAnsi="Calibri"/>
          <w:b/>
          <w:color w:val="123D34"/>
          <w:sz w:val="40"/>
        </w:rPr>
        <w:t>ESCOPO SIMPLIFICADO DO MVP</w:t>
      </w:r>
    </w:p>
    <w:p>
      <w:pPr>
        <w:spacing w:after="200" w:line="269" w:lineRule="auto"/>
      </w:pPr>
      <w:r>
        <w:rPr>
          <w:rFonts w:ascii="Calibri" w:hAnsi="Calibri"/>
          <w:i w:val="0"/>
          <w:color w:val="607A73"/>
          <w:sz w:val="20"/>
        </w:rPr>
        <w:t>O MVP tem como objetivo centralizar a jornada de cuidado, reduzir trabalho manual e dar ao paciente uma visão simples de evolução, sempre com supervisão médica.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7" w:color="D6E3DF"/>
          <w:start w:val="single" w:sz="7" w:color="D6E3DF"/>
          <w:bottom w:val="single" w:sz="7" w:color="D6E3DF"/>
          <w:end w:val="single" w:sz="7" w:color="D6E3DF"/>
        </w:tblBorders>
      </w:tblPr>
      <w:tblGrid>
        <w:gridCol w:w="9360"/>
      </w:tblGrid>
      <w:tr>
        <w:tc>
          <w:tcPr>
            <w:tcW w:type="dxa" w:w="9360"/>
            <w:tcMar>
              <w:top w:w="110" w:type="dxa"/>
              <w:start w:w="120" w:type="dxa"/>
              <w:bottom w:w="110" w:type="dxa"/>
              <w:end w:w="120" w:type="dxa"/>
            </w:tcMar>
            <w:shd w:fill="F4F7F5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7D6B"/>
                <w:sz w:val="21"/>
              </w:rPr>
              <w:t>1. Experiência do paciente · mobile-first</w:t>
            </w:r>
          </w:p>
          <w:p>
            <w:pPr>
              <w:spacing w:after="0" w:line="259" w:lineRule="auto"/>
            </w:pPr>
            <w:r>
              <w:rPr>
                <w:rFonts w:ascii="Calibri" w:hAnsi="Calibri"/>
                <w:color w:val="173A33"/>
                <w:sz w:val="19"/>
              </w:rPr>
              <w:t>Tela do dia, plano de cuidado, diário, evolução, mensagens e consultas; pré-consulta por conversa ou voz simulada; registro de sintomas e rotina; fotos de refeições com notas de 1 a 5 e confirmação de envio ao médico.</w:t>
            </w:r>
          </w:p>
        </w:tc>
      </w:tr>
    </w:tbl>
    <w:p>
      <w:pPr>
        <w:spacing w:after="2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7" w:color="D6E3DF"/>
          <w:start w:val="single" w:sz="7" w:color="D6E3DF"/>
          <w:bottom w:val="single" w:sz="7" w:color="D6E3DF"/>
          <w:end w:val="single" w:sz="7" w:color="D6E3DF"/>
        </w:tblBorders>
      </w:tblPr>
      <w:tblGrid>
        <w:gridCol w:w="9360"/>
      </w:tblGrid>
      <w:tr>
        <w:tc>
          <w:tcPr>
            <w:tcW w:type="dxa" w:w="9360"/>
            <w:tcMar>
              <w:top w:w="110" w:type="dxa"/>
              <w:start w:w="120" w:type="dxa"/>
              <w:bottom w:w="110" w:type="dxa"/>
              <w:end w:w="120" w:type="dxa"/>
            </w:tcMar>
            <w:shd w:fill="F4F7F5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7D6B"/>
                <w:sz w:val="21"/>
              </w:rPr>
              <w:t>2. Experiência do médico · desktop-first</w:t>
            </w:r>
          </w:p>
          <w:p>
            <w:pPr>
              <w:spacing w:after="0" w:line="259" w:lineRule="auto"/>
            </w:pPr>
            <w:r>
              <w:rPr>
                <w:rFonts w:ascii="Calibri" w:hAnsi="Calibri"/>
                <w:color w:val="173A33"/>
                <w:sz w:val="19"/>
              </w:rPr>
              <w:t>Visão geral com total de pacientes, regulares e atrasados no check-in; agenda diária clicável; lista e perfil longitudinal de pacientes; pendências, alertas e acesso direto à pré-consulta.</w:t>
            </w:r>
          </w:p>
        </w:tc>
      </w:tr>
    </w:tbl>
    <w:p>
      <w:pPr>
        <w:spacing w:after="2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7" w:color="D6E3DF"/>
          <w:start w:val="single" w:sz="7" w:color="D6E3DF"/>
          <w:bottom w:val="single" w:sz="7" w:color="D6E3DF"/>
          <w:end w:val="single" w:sz="7" w:color="D6E3DF"/>
        </w:tblBorders>
      </w:tblPr>
      <w:tblGrid>
        <w:gridCol w:w="9360"/>
      </w:tblGrid>
      <w:tr>
        <w:tc>
          <w:tcPr>
            <w:tcW w:type="dxa" w:w="9360"/>
            <w:tcMar>
              <w:top w:w="110" w:type="dxa"/>
              <w:start w:w="120" w:type="dxa"/>
              <w:bottom w:w="110" w:type="dxa"/>
              <w:end w:w="120" w:type="dxa"/>
            </w:tcMar>
            <w:shd w:fill="F4F7F5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7D6B"/>
                <w:sz w:val="21"/>
              </w:rPr>
              <w:t>3. Consulta, documentos e comunicação</w:t>
            </w:r>
          </w:p>
          <w:p>
            <w:pPr>
              <w:spacing w:after="0" w:line="259" w:lineRule="auto"/>
            </w:pPr>
            <w:r>
              <w:rPr>
                <w:rFonts w:ascii="Calibri" w:hAnsi="Calibri"/>
                <w:color w:val="173A33"/>
                <w:sz w:val="19"/>
              </w:rPr>
              <w:t>Notas de consulta, sínteses das conversas, próximos passos, mensagens internas, relatórios de evolução, PDFs demonstrativos e histórico simulado de receitas e documentos.</w:t>
            </w:r>
          </w:p>
        </w:tc>
      </w:tr>
    </w:tbl>
    <w:p>
      <w:pPr>
        <w:spacing w:after="2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7" w:color="D6E3DF"/>
          <w:start w:val="single" w:sz="7" w:color="D6E3DF"/>
          <w:bottom w:val="single" w:sz="7" w:color="D6E3DF"/>
          <w:end w:val="single" w:sz="7" w:color="D6E3DF"/>
        </w:tblBorders>
      </w:tblPr>
      <w:tblGrid>
        <w:gridCol w:w="9360"/>
      </w:tblGrid>
      <w:tr>
        <w:tc>
          <w:tcPr>
            <w:tcW w:type="dxa" w:w="9360"/>
            <w:tcMar>
              <w:top w:w="110" w:type="dxa"/>
              <w:start w:w="120" w:type="dxa"/>
              <w:bottom w:w="110" w:type="dxa"/>
              <w:end w:w="120" w:type="dxa"/>
            </w:tcMar>
            <w:shd w:fill="F4F7F5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7D6B"/>
                <w:sz w:val="21"/>
              </w:rPr>
              <w:t>4. IA assistiva</w:t>
            </w:r>
          </w:p>
          <w:p>
            <w:pPr>
              <w:spacing w:after="0" w:line="259" w:lineRule="auto"/>
            </w:pPr>
            <w:r>
              <w:rPr>
                <w:rFonts w:ascii="Calibri" w:hAnsi="Calibri"/>
                <w:color w:val="173A33"/>
                <w:sz w:val="19"/>
              </w:rPr>
              <w:t>Pré-consulta conversacional; sínteses e rascunhos; identificação de assuntos a revisar; análise demonstrativa de fotos de pratos; sinais de atraso ou mudança de padrão. Toda saída clínica depende de revisão médica.</w:t>
            </w:r>
          </w:p>
        </w:tc>
      </w:tr>
    </w:tbl>
    <w:p>
      <w:pPr>
        <w:spacing w:after="2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7" w:color="D6E3DF"/>
          <w:start w:val="single" w:sz="7" w:color="D6E3DF"/>
          <w:bottom w:val="single" w:sz="7" w:color="D6E3DF"/>
          <w:end w:val="single" w:sz="7" w:color="D6E3DF"/>
        </w:tblBorders>
      </w:tblPr>
      <w:tblGrid>
        <w:gridCol w:w="9360"/>
      </w:tblGrid>
      <w:tr>
        <w:tc>
          <w:tcPr>
            <w:tcW w:type="dxa" w:w="9360"/>
            <w:tcMar>
              <w:top w:w="110" w:type="dxa"/>
              <w:start w:w="120" w:type="dxa"/>
              <w:bottom w:w="110" w:type="dxa"/>
              <w:end w:w="120" w:type="dxa"/>
            </w:tcMar>
            <w:shd w:fill="F4F7F5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7D6B"/>
                <w:sz w:val="21"/>
              </w:rPr>
              <w:t>5. Evolução e objetivos</w:t>
            </w:r>
          </w:p>
          <w:p>
            <w:pPr>
              <w:spacing w:after="0" w:line="259" w:lineRule="auto"/>
            </w:pPr>
            <w:r>
              <w:rPr>
                <w:rFonts w:ascii="Calibri" w:hAnsi="Calibri"/>
                <w:color w:val="173A33"/>
                <w:sz w:val="19"/>
              </w:rPr>
              <w:t>Indicador simples de quanto falta para o objetivo, tendências de peso, sono, passos e adesão, além de relatórios semanais, quinzenais ou mensais demonstrativos.</w:t>
            </w:r>
          </w:p>
        </w:tc>
      </w:tr>
    </w:tbl>
    <w:p>
      <w:pPr>
        <w:spacing w:after="2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7" w:color="D6E3DF"/>
          <w:start w:val="single" w:sz="7" w:color="D6E3DF"/>
          <w:bottom w:val="single" w:sz="7" w:color="D6E3DF"/>
          <w:end w:val="single" w:sz="7" w:color="D6E3DF"/>
        </w:tblBorders>
      </w:tblPr>
      <w:tblGrid>
        <w:gridCol w:w="9360"/>
      </w:tblGrid>
      <w:tr>
        <w:tc>
          <w:tcPr>
            <w:tcW w:type="dxa" w:w="9360"/>
            <w:tcMar>
              <w:top w:w="110" w:type="dxa"/>
              <w:start w:w="120" w:type="dxa"/>
              <w:bottom w:w="110" w:type="dxa"/>
              <w:end w:w="120" w:type="dxa"/>
            </w:tcMar>
            <w:shd w:fill="F4F7F5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7D6B"/>
                <w:sz w:val="21"/>
              </w:rPr>
              <w:t>6. Entrega técnica</w:t>
            </w:r>
          </w:p>
          <w:p>
            <w:pPr>
              <w:spacing w:after="0" w:line="259" w:lineRule="auto"/>
            </w:pPr>
            <w:r>
              <w:rPr>
                <w:rFonts w:ascii="Calibri" w:hAnsi="Calibri"/>
                <w:color w:val="173A33"/>
                <w:sz w:val="19"/>
              </w:rPr>
              <w:t>Código-fonte do MVP, instruções para execução, configuração básica do ambiente e documentação curta para continuidade e validação.</w:t>
            </w:r>
          </w:p>
        </w:tc>
      </w:tr>
    </w:tbl>
    <w:p>
      <w:pPr>
        <w:spacing w:after="20"/>
      </w:pPr>
    </w:p>
    <w:p>
      <w:pPr>
        <w:pStyle w:val="Heading2"/>
        <w:keepNext/>
        <w:pageBreakBefore/>
        <w:spacing w:before="140" w:after="60"/>
      </w:pPr>
      <w:r>
        <w:rPr>
          <w:rFonts w:ascii="Calibri" w:hAnsi="Calibri"/>
          <w:b/>
          <w:color w:val="0B7D6B"/>
          <w:sz w:val="22"/>
        </w:rPr>
        <w:t>O que não está incluído nesta fase</w:t>
      </w:r>
    </w:p>
    <w:p>
      <w:pPr>
        <w:spacing w:after="80" w:line="264" w:lineRule="auto"/>
      </w:pPr>
      <w:r>
        <w:rPr>
          <w:rFonts w:ascii="Calibri" w:hAnsi="Calibri"/>
          <w:b/>
          <w:color w:val="123D34"/>
          <w:sz w:val="20"/>
        </w:rPr>
        <w:t xml:space="preserve">INTEGRAÇÕES REAIS  </w:t>
      </w:r>
      <w:r>
        <w:rPr>
          <w:rFonts w:ascii="Calibri" w:hAnsi="Calibri"/>
          <w:color w:val="173A33"/>
          <w:sz w:val="20"/>
        </w:rPr>
        <w:t>HealthKit, Health Connect, relógios, Google Meet, prescrição digital, assinatura eletrônica, WhatsApp, pagamentos, prontuários e bases científicas poderão ser simulados ou preparados, mas a ativação em produção dependerá de acordo próprio, credenciais e custos externos.</w:t>
      </w:r>
    </w:p>
    <w:p>
      <w:pPr>
        <w:spacing w:after="80" w:line="264" w:lineRule="auto"/>
      </w:pPr>
      <w:r>
        <w:rPr>
          <w:rFonts w:ascii="Calibri" w:hAnsi="Calibri"/>
          <w:b/>
          <w:color w:val="123D34"/>
          <w:sz w:val="20"/>
        </w:rPr>
        <w:t xml:space="preserve">OPERAÇÃO E REGULAÇÃO  </w:t>
      </w:r>
      <w:r>
        <w:rPr>
          <w:rFonts w:ascii="Calibri" w:hAnsi="Calibri"/>
          <w:color w:val="173A33"/>
          <w:sz w:val="20"/>
        </w:rPr>
        <w:t>Aplicativos nativos publicados em lojas, suporte 24x7, central de atendimento, migração de prontuário, certificações, estudos clínicos, enquadramento como dispositivo médico e expansão internacional não fazem parte deste MVP.</w:t>
      </w:r>
    </w:p>
    <w:p>
      <w:pPr>
        <w:spacing w:after="80" w:line="264" w:lineRule="auto"/>
      </w:pPr>
      <w:r>
        <w:rPr>
          <w:rFonts w:ascii="Calibri" w:hAnsi="Calibri"/>
          <w:b/>
          <w:color w:val="123D34"/>
          <w:sz w:val="20"/>
        </w:rPr>
        <w:t xml:space="preserve">DADOS REAIS  </w:t>
      </w:r>
      <w:r>
        <w:rPr>
          <w:rFonts w:ascii="Calibri" w:hAnsi="Calibri"/>
          <w:color w:val="173A33"/>
          <w:sz w:val="20"/>
        </w:rPr>
        <w:t>O uso de dados de pacientes em piloto ou produção dependerá das condições de privacidade e segurança previstas na Cláusula 6.</w:t>
      </w:r>
    </w:p>
    <w:p>
      <w:pPr>
        <w:pStyle w:val="Heading2"/>
        <w:keepNext/>
        <w:spacing w:before="140" w:after="60"/>
      </w:pPr>
      <w:r>
        <w:rPr>
          <w:rFonts w:ascii="Calibri" w:hAnsi="Calibri"/>
          <w:b/>
          <w:color w:val="0B7D6B"/>
          <w:sz w:val="22"/>
        </w:rPr>
        <w:t>Quando o MVP será considerado entregue</w:t>
      </w:r>
    </w:p>
    <w:p>
      <w:pPr>
        <w:spacing w:after="100" w:line="269" w:lineRule="auto"/>
      </w:pPr>
      <w:r>
        <w:rPr>
          <w:rFonts w:ascii="Calibri" w:hAnsi="Calibri"/>
          <w:i w:val="0"/>
          <w:color w:val="173A33"/>
          <w:sz w:val="20"/>
        </w:rPr>
        <w:t>O MVP será considerado entregue quando os fluxos essenciais acima estiverem navegáveis, os avisos sobre dados demonstrativos e revisão médica estiverem visíveis, não houver defeito bloqueador reproduzível e o código, os acessos sob gestão da Contratada e a documentação de execução tiverem sido disponibilizados.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224" w:bottom="979" w:left="1224" w:header="490" w:footer="49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/>
        <w:color w:val="607A73"/>
        <w:sz w:val="16"/>
      </w:rPr>
      <w:t xml:space="preserve">PÁGINA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color w:val="0B7D6B"/>
        <w:sz w:val="16"/>
      </w:rPr>
      <w:t>INSTITUTO VIVANCE  ·  CONTRATO SIMPLIFICADO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Calibri" w:hAnsi="Calibri"/>
      <w:color w:val="173A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23D3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23D3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Contrato Simplificado de Desenvolvimento de MVP — Instituto Vivance</dc:title>
  <dc:subject>Minuta simplificada para contratação do MVP</dc:subject>
  <dc:creator>Instituto Vivance</dc:creator>
  <cp:keywords>Instituto Vivance, MVP, contrato, IA, saúde, LGPD</cp:keywords>
  <dc:description>Minuta simplificada atualizada em 1º de setembro de 2026: vigência, pagamento mensal, preço global e custos externos ajustados.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