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600" w:line="240" w:lineRule="auto"/>
        <w:jc w:val="left"/>
      </w:pPr>
    </w:p>
    <w:p>
      <w:pPr>
        <w:keepNext w:val="0"/>
        <w:keepLines w:val="0"/>
        <w:spacing w:before="0" w:after="360" w:line="240" w:lineRule="auto"/>
        <w:jc w:val="center"/>
      </w:pPr>
      <w:r>
        <w:rPr>
          <w:rFonts w:ascii="Calibri" w:hAnsi="Calibri" w:eastAsia="Calibri"/>
          <w:b/>
          <w:i w:val="0"/>
          <w:color w:val="0B7B68"/>
          <w:sz w:val="22"/>
        </w:rPr>
        <w:t>INSTITUTO VIVANCE</w:t>
      </w:r>
    </w:p>
    <w:p>
      <w:pPr>
        <w:keepNext w:val="0"/>
        <w:keepLines/>
        <w:spacing w:before="0" w:after="200" w:line="240" w:lineRule="auto"/>
        <w:jc w:val="center"/>
      </w:pPr>
      <w:r>
        <w:rPr>
          <w:rFonts w:ascii="Calibri" w:hAnsi="Calibri" w:eastAsia="Calibri"/>
          <w:b/>
          <w:i w:val="0"/>
          <w:color w:val="17372F"/>
          <w:sz w:val="54"/>
        </w:rPr>
        <w:t>Proposta de Desenvolvimento</w:t>
        <w:br/>
        <w:t>do MVP e Parceria Comercial</w:t>
      </w:r>
    </w:p>
    <w:p>
      <w:pPr>
        <w:keepNext w:val="0"/>
        <w:keepLines/>
        <w:spacing w:before="0" w:after="560" w:line="288" w:lineRule="auto"/>
        <w:jc w:val="center"/>
      </w:pPr>
      <w:r>
        <w:rPr>
          <w:rFonts w:ascii="Calibri" w:hAnsi="Calibri" w:eastAsia="Calibri"/>
          <w:b w:val="0"/>
          <w:i w:val="0"/>
          <w:color w:val="60766F"/>
          <w:sz w:val="26"/>
        </w:rPr>
        <w:t>Uma plataforma de cuidado contínuo, assistida por IA e supervisionada pelo médico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7F5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7B68"/>
                <w:sz w:val="16"/>
              </w:rPr>
              <w:t>DESTINATÁRIO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72F"/>
                <w:sz w:val="21"/>
              </w:rPr>
              <w:t>Dr. Guilherme | Instituto Vivance</w:t>
            </w:r>
          </w:p>
        </w:tc>
        <w:tc>
          <w:tcPr>
            <w:tcW w:type="dxa" w:w="468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7F5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7B68"/>
                <w:sz w:val="16"/>
              </w:rPr>
              <w:t>DATA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72F"/>
                <w:sz w:val="21"/>
              </w:rPr>
              <w:t>28 de agosto de 2026</w:t>
            </w:r>
          </w:p>
        </w:tc>
      </w:tr>
      <w:tr>
        <w:trPr>
          <w:cantSplit/>
        </w:trPr>
        <w:tc>
          <w:tcPr>
            <w:tcW w:type="dxa" w:w="468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7F5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7B68"/>
                <w:sz w:val="16"/>
              </w:rPr>
              <w:t>OBJETO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72F"/>
                <w:sz w:val="21"/>
              </w:rPr>
              <w:t>MVP operacional e validado</w:t>
            </w:r>
          </w:p>
        </w:tc>
        <w:tc>
          <w:tcPr>
            <w:tcW w:type="dxa" w:w="468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7F5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7B68"/>
                <w:sz w:val="16"/>
              </w:rPr>
              <w:t>MODELO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17372F"/>
                <w:sz w:val="21"/>
              </w:rPr>
              <w:t>Execução em até 6 meses</w:t>
            </w:r>
          </w:p>
        </w:tc>
      </w:tr>
    </w:tbl>
    <w:p>
      <w:pPr>
        <w:keepNext w:val="0"/>
        <w:keepLines w:val="0"/>
        <w:spacing w:before="0" w:after="40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0"/>
              </w:rPr>
              <w:t>R$ 5 mil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D9EEE8"/>
                <w:sz w:val="17"/>
              </w:rPr>
              <w:t>INVESTIMENTO MENSAL</w:t>
            </w:r>
          </w:p>
        </w:tc>
        <w:tc>
          <w:tcPr>
            <w:tcW w:type="dxa" w:w="234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75F52"/>
                <w:sz w:val="30"/>
              </w:rPr>
              <w:t>6 meses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60766F"/>
                <w:sz w:val="17"/>
              </w:rPr>
              <w:t>PRAZO MÁXIMO</w:t>
            </w:r>
          </w:p>
        </w:tc>
        <w:tc>
          <w:tcPr>
            <w:tcW w:type="dxa" w:w="234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75F52"/>
                <w:sz w:val="30"/>
              </w:rPr>
              <w:t>R$ 30 mil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60766F"/>
                <w:sz w:val="17"/>
              </w:rPr>
              <w:t>TETO DA FASE 1</w:t>
            </w:r>
          </w:p>
        </w:tc>
        <w:tc>
          <w:tcPr>
            <w:tcW w:type="dxa" w:w="234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75F52"/>
                <w:sz w:val="30"/>
              </w:rPr>
              <w:t>0%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60766F"/>
                <w:sz w:val="17"/>
              </w:rPr>
              <w:t>EQUITY NA FASE 1</w:t>
            </w:r>
          </w:p>
        </w:tc>
      </w:tr>
    </w:tbl>
    <w:p>
      <w:pPr>
        <w:keepNext w:val="0"/>
        <w:keepLines w:val="0"/>
        <w:spacing w:before="0" w:after="480" w:line="240" w:lineRule="auto"/>
        <w:jc w:val="left"/>
      </w:pPr>
    </w:p>
    <w:p>
      <w:pPr>
        <w:keepNext w:val="0"/>
        <w:keepLines/>
        <w:spacing w:before="0" w:after="160" w:line="300" w:lineRule="auto"/>
        <w:jc w:val="center"/>
      </w:pPr>
      <w:r>
        <w:rPr>
          <w:rFonts w:ascii="Calibri" w:hAnsi="Calibri" w:eastAsia="Calibri"/>
          <w:b/>
          <w:i w:val="0"/>
          <w:color w:val="17372F"/>
          <w:sz w:val="25"/>
        </w:rPr>
        <w:t>Construir primeiro para a realidade da Vivance. Validar com uso real. Escalar depois com uma proposta comercial clara.</w:t>
      </w:r>
    </w:p>
    <w:p>
      <w:pPr>
        <w:keepNext w:val="0"/>
        <w:keepLines w:val="0"/>
        <w:spacing w:before="0" w:after="0" w:line="276" w:lineRule="auto"/>
        <w:jc w:val="center"/>
      </w:pPr>
      <w:r>
        <w:rPr>
          <w:rFonts w:ascii="Calibri" w:hAnsi="Calibri" w:eastAsia="Calibri"/>
          <w:b w:val="0"/>
          <w:i/>
          <w:color w:val="60766F"/>
          <w:sz w:val="19"/>
        </w:rPr>
        <w:t>Documento-base para alinhamento comercial. A contratação será formalizada em instrumento definitivo.</w:t>
      </w:r>
    </w:p>
    <w:p>
      <w:pPr>
        <w:spacing w:after="0"/>
      </w:pPr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B7B68" w:val="clea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4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32"/>
              </w:rPr>
              <w:t>Visão executiva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60766F"/>
                <w:sz w:val="19"/>
              </w:rPr>
              <w:t>O que será construído e qual resultado se espera</w:t>
            </w:r>
          </w:p>
        </w:tc>
      </w:tr>
    </w:tbl>
    <w:p>
      <w:pPr>
        <w:keepNext w:val="0"/>
        <w:keepLines w:val="0"/>
        <w:spacing w:before="0" w:after="40" w:line="240" w:lineRule="auto"/>
        <w:jc w:val="left"/>
      </w:pPr>
    </w:p>
    <w:p>
      <w:pPr>
        <w:keepNext w:val="0"/>
        <w:keepLines w:val="0"/>
        <w:spacing w:before="0" w:after="200" w:line="320" w:lineRule="auto"/>
        <w:jc w:val="left"/>
      </w:pPr>
      <w:r>
        <w:rPr>
          <w:rFonts w:ascii="Calibri" w:hAnsi="Calibri" w:eastAsia="Calibri"/>
          <w:b w:val="0"/>
          <w:i w:val="0"/>
          <w:color w:val="17372F"/>
          <w:sz w:val="22"/>
        </w:rPr>
        <w:t>A proposta é transformar o protótipo do Instituto Vivance em um produto digital operacional, voltado ao acompanhamento longitudinal de pacientes em emagrecimento e saúde do envelhecimento. O MVP priorizará os fluxos que geram valor antes, durante e depois da consulta, reduzindo a fragmentação de informações e ampliando a capacidade de acompanhamento do médico.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8F4F0" w:val="clear"/>
            <w:tcBorders>
              <w:left w:val="single" w:sz="18" w:space="0" w:color="0B7B68"/>
            </w:tcBorders>
          </w:tcPr>
          <w:p>
            <w:pPr>
              <w:keepNext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3"/>
              </w:rPr>
              <w:t>Resultado esperado ao final da Fase 1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color w:val="17372F"/>
                <w:sz w:val="21"/>
              </w:rPr>
              <w:t>Um MVP funcional nos fluxos priorizados, testado em piloto com usuários definidos pela Vivance, com aprendizados documentados, indicadores iniciais de uso e base técnica preparada para evolução comercial.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Experiência de produto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Paciente mobile-first. </w:t>
      </w:r>
      <w:r>
        <w:rPr>
          <w:rFonts w:ascii="Calibri" w:hAnsi="Calibri" w:eastAsia="Calibri"/>
          <w:color w:val="17372F"/>
          <w:sz w:val="22"/>
        </w:rPr>
        <w:t>Jornadas simples para pré-consulta conversacional, check-ins, mensagens, fotos de refeições, plano de cuidado e evolução.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Médico desktop-first. </w:t>
      </w:r>
      <w:r>
        <w:rPr>
          <w:rFonts w:ascii="Calibri" w:hAnsi="Calibri" w:eastAsia="Calibri"/>
          <w:color w:val="17372F"/>
          <w:sz w:val="22"/>
        </w:rPr>
        <w:t>Agenda acionável, síntese pré-consulta, acompanhamento da carteira, relatórios, documentos, prioridades e comunicação centralizada.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Cuidado contínuo. </w:t>
      </w:r>
      <w:r>
        <w:rPr>
          <w:rFonts w:ascii="Calibri" w:hAnsi="Calibri" w:eastAsia="Calibri"/>
          <w:color w:val="17372F"/>
          <w:sz w:val="22"/>
        </w:rPr>
        <w:t>Uma mesma linha do tempo conecta pré-consulta, consulta, recomendações aprovadas e acompanhamento entre encontros.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IA como assistência. </w:t>
      </w:r>
      <w:r>
        <w:rPr>
          <w:rFonts w:ascii="Calibri" w:hAnsi="Calibri" w:eastAsia="Calibri"/>
          <w:color w:val="17372F"/>
          <w:sz w:val="22"/>
        </w:rPr>
        <w:t>A tecnologia organiza informações, sugere sínteses e destaca padrões para revisão médica, sem substituir decisão clínica.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Escopo funcional prioritário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3DF"/>
          <w:left w:val="single" w:sz="6" w:space="0" w:color="D7E3DF"/>
          <w:bottom w:val="single" w:sz="6" w:space="0" w:color="D7E3DF"/>
          <w:right w:val="single" w:sz="6" w:space="0" w:color="D7E3DF"/>
          <w:insideH w:val="single" w:sz="6" w:space="0" w:color="D7E3DF"/>
          <w:insideV w:val="single" w:sz="6" w:space="0" w:color="D7E3D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Pré-consulta por voz ou chat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Coleta conversacional, consentimento, transcrição e síntese do objetivo do paciente.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Agenda e consulta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Visão do dia, acesso ao contexto do paciente, notas e preparação para videochamada.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Acompanhamento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Mensagens, check-ins, sintomas, adesão, rotina, sono, passos e evolução quando disponíveis.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Conteúdo clínico e documentos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Receitas, relatórios, planos e orientações aprovadas pelo médico em um só lugar.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Fotos de refeições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Registro visual com análise assistida e limitações claramente comunicadas.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Relatórios e insights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Sínteses semanais, quinzenais e mensais, alertas e próximos passos para revisão.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B7B68" w:val="clea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4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32"/>
              </w:rPr>
              <w:t>Plano de execução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60766F"/>
                <w:sz w:val="19"/>
              </w:rPr>
              <w:t>Até seis meses, com validação progressiva</w:t>
            </w:r>
          </w:p>
        </w:tc>
      </w:tr>
    </w:tbl>
    <w:p>
      <w:pPr>
        <w:keepNext w:val="0"/>
        <w:keepLines w:val="0"/>
        <w:spacing w:before="0" w:after="40" w:line="240" w:lineRule="auto"/>
        <w:jc w:val="left"/>
      </w:pPr>
    </w:p>
    <w:p>
      <w:pPr>
        <w:keepNext w:val="0"/>
        <w:keepLines w:val="0"/>
        <w:spacing w:before="0" w:after="200" w:line="320" w:lineRule="auto"/>
        <w:jc w:val="left"/>
      </w:pPr>
      <w:r>
        <w:rPr>
          <w:rFonts w:ascii="Calibri" w:hAnsi="Calibri" w:eastAsia="Calibri"/>
          <w:b w:val="0"/>
          <w:i w:val="0"/>
          <w:color w:val="17372F"/>
          <w:sz w:val="22"/>
        </w:rPr>
        <w:t>O trabalho será conduzido em ciclos mensais, com priorização conjunta e demonstrações frequentes. O prazo máximo previsto é de seis meses; qualquer extensão dependerá de novo acordo escrito.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3DF"/>
          <w:left w:val="single" w:sz="6" w:space="0" w:color="D7E3DF"/>
          <w:bottom w:val="single" w:sz="6" w:space="0" w:color="D7E3DF"/>
          <w:right w:val="single" w:sz="6" w:space="0" w:color="D7E3DF"/>
          <w:insideH w:val="single" w:sz="6" w:space="0" w:color="D7E3DF"/>
          <w:insideV w:val="single" w:sz="6" w:space="0" w:color="D7E3DF"/>
        </w:tblBorders>
      </w:tblPr>
      <w:tblGrid>
        <w:gridCol w:w="1800"/>
        <w:gridCol w:w="3780"/>
        <w:gridCol w:w="378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FOCO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ENTREGA PRINCIPAL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20"/>
              </w:rPr>
              <w:t>Mês 1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Definição e fundação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Escopo validado, métricas, arquitetura, dados e jornadas priorizadas.</w:t>
            </w:r>
          </w:p>
        </w:tc>
      </w:tr>
      <w:tr>
        <w:trPr>
          <w:cantSplit/>
        </w:trPr>
        <w:tc>
          <w:tcPr>
            <w:tcW w:type="dxa" w:w="180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20"/>
              </w:rPr>
              <w:t>Meses 2 e 3</w:t>
            </w:r>
          </w:p>
        </w:tc>
        <w:tc>
          <w:tcPr>
            <w:tcW w:type="dxa" w:w="378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Produto operacional</w:t>
            </w:r>
          </w:p>
        </w:tc>
        <w:tc>
          <w:tcPr>
            <w:tcW w:type="dxa" w:w="378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Fluxos essenciais de paciente e médico funcionando ponta a ponta.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20"/>
              </w:rPr>
              <w:t>Meses 4 e 5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Piloto e aprendizagem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Uso acompanhado, correções, indicadores e refinamento das jornadas.</w:t>
            </w:r>
          </w:p>
        </w:tc>
      </w:tr>
      <w:tr>
        <w:trPr>
          <w:cantSplit/>
        </w:trPr>
        <w:tc>
          <w:tcPr>
            <w:tcW w:type="dxa" w:w="180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20"/>
              </w:rPr>
              <w:t>Mês 6</w:t>
            </w:r>
          </w:p>
        </w:tc>
        <w:tc>
          <w:tcPr>
            <w:tcW w:type="dxa" w:w="378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Validação e preparação para escala</w:t>
            </w:r>
          </w:p>
        </w:tc>
        <w:tc>
          <w:tcPr>
            <w:tcW w:type="dxa" w:w="378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MVP consolidado, aprendizados, documentação e plano da Fase 2.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Responsabilidades para o piloto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3DF"/>
          <w:left w:val="single" w:sz="6" w:space="0" w:color="D7E3DF"/>
          <w:bottom w:val="single" w:sz="6" w:space="0" w:color="D7E3DF"/>
          <w:right w:val="single" w:sz="6" w:space="0" w:color="D7E3DF"/>
          <w:insideH w:val="single" w:sz="6" w:space="0" w:color="D7E3DF"/>
          <w:insideV w:val="single" w:sz="6" w:space="0" w:color="D7E3D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2"/>
              </w:rPr>
              <w:t>Desenvolvimento do produto</w:t>
            </w:r>
          </w:p>
          <w:p>
            <w:pPr>
              <w:keepNext w:val="0"/>
              <w:keepLines/>
              <w:spacing w:before="0" w:after="60" w:line="276" w:lineRule="auto"/>
              <w:ind w:left="202" w:hanging="144"/>
              <w:jc w:val="left"/>
            </w:pPr>
            <w:r>
              <w:rPr>
                <w:rFonts w:ascii="Calibri" w:hAnsi="Calibri" w:eastAsia="Calibri"/>
                <w:b/>
                <w:color w:val="0B7B68"/>
                <w:sz w:val="19"/>
              </w:rPr>
              <w:t xml:space="preserve">• </w:t>
            </w:r>
            <w:r>
              <w:rPr>
                <w:rFonts w:ascii="Calibri" w:hAnsi="Calibri" w:eastAsia="Calibri"/>
                <w:color w:val="17372F"/>
                <w:sz w:val="18"/>
              </w:rPr>
              <w:t>Planejamento, design, implementação e evolução do MVP.</w:t>
            </w:r>
          </w:p>
          <w:p>
            <w:pPr>
              <w:keepNext w:val="0"/>
              <w:keepLines/>
              <w:spacing w:before="0" w:after="60" w:line="276" w:lineRule="auto"/>
              <w:ind w:left="202" w:hanging="144"/>
              <w:jc w:val="left"/>
            </w:pPr>
            <w:r>
              <w:rPr>
                <w:rFonts w:ascii="Calibri" w:hAnsi="Calibri" w:eastAsia="Calibri"/>
                <w:b/>
                <w:color w:val="0B7B68"/>
                <w:sz w:val="19"/>
              </w:rPr>
              <w:t xml:space="preserve">• </w:t>
            </w:r>
            <w:r>
              <w:rPr>
                <w:rFonts w:ascii="Calibri" w:hAnsi="Calibri" w:eastAsia="Calibri"/>
                <w:color w:val="17372F"/>
                <w:sz w:val="18"/>
              </w:rPr>
              <w:t>Instrumentação de métricas, documentação e suporte ao piloto.</w:t>
            </w:r>
          </w:p>
          <w:p>
            <w:pPr>
              <w:keepNext w:val="0"/>
              <w:keepLines/>
              <w:spacing w:before="0" w:after="60" w:line="276" w:lineRule="auto"/>
              <w:ind w:left="202" w:hanging="144"/>
              <w:jc w:val="left"/>
            </w:pPr>
            <w:r>
              <w:rPr>
                <w:rFonts w:ascii="Calibri" w:hAnsi="Calibri" w:eastAsia="Calibri"/>
                <w:b/>
                <w:color w:val="0B7B68"/>
                <w:sz w:val="19"/>
              </w:rPr>
              <w:t xml:space="preserve">• </w:t>
            </w:r>
            <w:r>
              <w:rPr>
                <w:rFonts w:ascii="Calibri" w:hAnsi="Calibri" w:eastAsia="Calibri"/>
                <w:color w:val="17372F"/>
                <w:sz w:val="18"/>
              </w:rPr>
              <w:t>Apresentação prévia de custos de terceiros antes da contratação.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5" w:val="clear"/>
          </w:tcPr>
          <w:p>
            <w:pPr>
              <w:keepNext w:val="0"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2"/>
              </w:rPr>
              <w:t>Instituto Vivance</w:t>
            </w:r>
          </w:p>
          <w:p>
            <w:pPr>
              <w:keepNext w:val="0"/>
              <w:keepLines/>
              <w:spacing w:before="0" w:after="60" w:line="276" w:lineRule="auto"/>
              <w:ind w:left="202" w:hanging="144"/>
              <w:jc w:val="left"/>
            </w:pPr>
            <w:r>
              <w:rPr>
                <w:rFonts w:ascii="Calibri" w:hAnsi="Calibri" w:eastAsia="Calibri"/>
                <w:b/>
                <w:color w:val="0B7B68"/>
                <w:sz w:val="19"/>
              </w:rPr>
              <w:t xml:space="preserve">• </w:t>
            </w:r>
            <w:r>
              <w:rPr>
                <w:rFonts w:ascii="Calibri" w:hAnsi="Calibri" w:eastAsia="Calibri"/>
                <w:color w:val="17372F"/>
                <w:sz w:val="18"/>
              </w:rPr>
              <w:t>Disponibilidade do Dr. Guilherme para decisões e validação clínica.</w:t>
            </w:r>
          </w:p>
          <w:p>
            <w:pPr>
              <w:keepNext w:val="0"/>
              <w:keepLines/>
              <w:spacing w:before="0" w:after="60" w:line="276" w:lineRule="auto"/>
              <w:ind w:left="202" w:hanging="144"/>
              <w:jc w:val="left"/>
            </w:pPr>
            <w:r>
              <w:rPr>
                <w:rFonts w:ascii="Calibri" w:hAnsi="Calibri" w:eastAsia="Calibri"/>
                <w:b/>
                <w:color w:val="0B7B68"/>
                <w:sz w:val="19"/>
              </w:rPr>
              <w:t xml:space="preserve">• </w:t>
            </w:r>
            <w:r>
              <w:rPr>
                <w:rFonts w:ascii="Calibri" w:hAnsi="Calibri" w:eastAsia="Calibri"/>
                <w:color w:val="17372F"/>
                <w:sz w:val="18"/>
              </w:rPr>
              <w:t>Acesso a usuários-piloto, conteúdos e fluxos reais autorizados.</w:t>
            </w:r>
          </w:p>
          <w:p>
            <w:pPr>
              <w:keepNext w:val="0"/>
              <w:keepLines/>
              <w:spacing w:before="0" w:after="60" w:line="276" w:lineRule="auto"/>
              <w:ind w:left="202" w:hanging="144"/>
              <w:jc w:val="left"/>
            </w:pPr>
            <w:r>
              <w:rPr>
                <w:rFonts w:ascii="Calibri" w:hAnsi="Calibri" w:eastAsia="Calibri"/>
                <w:b/>
                <w:color w:val="0B7B68"/>
                <w:sz w:val="19"/>
              </w:rPr>
              <w:t xml:space="preserve">• </w:t>
            </w:r>
            <w:r>
              <w:rPr>
                <w:rFonts w:ascii="Calibri" w:hAnsi="Calibri" w:eastAsia="Calibri"/>
                <w:color w:val="17372F"/>
                <w:sz w:val="18"/>
              </w:rPr>
              <w:t>Feedback em prazo compatível com os ciclos de execução.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Limites de IA e segurança clínica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FFF4D8" w:val="clear"/>
            <w:tcBorders>
              <w:left w:val="single" w:sz="18" w:space="0" w:color="9B6514"/>
            </w:tcBorders>
          </w:tcPr>
          <w:p>
            <w:pPr>
              <w:keepNext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6514"/>
                <w:sz w:val="23"/>
              </w:rPr>
              <w:t>Supervisão médica obrigatória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color w:val="17372F"/>
                <w:sz w:val="21"/>
              </w:rPr>
              <w:t>A IA poderá organizar, resumir, redigir rascunhos e sinalizar padrões. Não realizará diagnóstico, prescrição, alteração de dose ou definição de conduta de forma autônoma. Conteúdos destinados ao paciente dependerão de revisão e aprovação médica. Dados de saúde exigirão consentimento, minimização, controle de acesso, auditoria e possibilidade de revogação.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p>
      <w:pPr>
        <w:spacing w:after="0"/>
      </w:pPr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B7B68" w:val="clea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4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32"/>
              </w:rPr>
              <w:t>Investimento da Fase 1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60766F"/>
                <w:sz w:val="19"/>
              </w:rPr>
              <w:t>Condições para construção e validação do MVP</w:t>
            </w:r>
          </w:p>
        </w:tc>
      </w:tr>
    </w:tbl>
    <w:p>
      <w:pPr>
        <w:keepNext w:val="0"/>
        <w:keepLines w:val="0"/>
        <w:spacing w:before="0" w:after="4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0"/>
              </w:rPr>
              <w:t>R$ 5.000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D9EEE8"/>
                <w:sz w:val="17"/>
              </w:rPr>
              <w:t>POR MÊS</w:t>
            </w:r>
          </w:p>
        </w:tc>
        <w:tc>
          <w:tcPr>
            <w:tcW w:type="dxa" w:w="312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75F52"/>
                <w:sz w:val="30"/>
              </w:rPr>
              <w:t>Até 6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60766F"/>
                <w:sz w:val="17"/>
              </w:rPr>
              <w:t>MENSALIDADES</w:t>
            </w:r>
          </w:p>
        </w:tc>
        <w:tc>
          <w:tcPr>
            <w:tcW w:type="dxa" w:w="312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75F52"/>
                <w:sz w:val="30"/>
              </w:rPr>
              <w:t>R$ 30.000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60766F"/>
                <w:sz w:val="17"/>
              </w:rPr>
              <w:t>TETO DE HONORÁRIOS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3DF"/>
          <w:left w:val="single" w:sz="6" w:space="0" w:color="D7E3DF"/>
          <w:bottom w:val="single" w:sz="6" w:space="0" w:color="D7E3DF"/>
          <w:right w:val="single" w:sz="6" w:space="0" w:color="D7E3DF"/>
          <w:insideH w:val="single" w:sz="6" w:space="0" w:color="D7E3DF"/>
          <w:insideV w:val="single" w:sz="6" w:space="0" w:color="D7E3DF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CONDIÇÃO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72F" w:val="clear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19"/>
              </w:rPr>
              <w:t>Honorários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R$ 5.000 por mês de execução, por até seis meses.</w:t>
            </w:r>
          </w:p>
        </w:tc>
      </w:tr>
      <w:tr>
        <w:tc>
          <w:tcPr>
            <w:tcW w:type="dxa" w:w="270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19"/>
              </w:rPr>
              <w:t>Limite financeiro</w:t>
            </w:r>
          </w:p>
        </w:tc>
        <w:tc>
          <w:tcPr>
            <w:tcW w:type="dxa" w:w="666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Até R$ 30.000 em honorários na Fase 1.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19"/>
              </w:rPr>
              <w:t>Custos de terceiros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Nuvem, servidor, APIs, mensageria e demais fornecedores serão cobrados à parte.</w:t>
            </w:r>
          </w:p>
        </w:tc>
      </w:tr>
      <w:tr>
        <w:tc>
          <w:tcPr>
            <w:tcW w:type="dxa" w:w="270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19"/>
              </w:rPr>
              <w:t>Previsão inicial</w:t>
            </w:r>
          </w:p>
        </w:tc>
        <w:tc>
          <w:tcPr>
            <w:tcW w:type="dxa" w:w="666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Custos de terceiros estimados em até 10% a 15% adicionais, conforme uso e escolhas técnicas.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19"/>
              </w:rPr>
              <w:t>Aprovação prévia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Nenhum custo externo relevante será contratado sem apresentação e aprovação prévia da Vivance.</w:t>
            </w:r>
          </w:p>
        </w:tc>
      </w:tr>
      <w:tr>
        <w:tc>
          <w:tcPr>
            <w:tcW w:type="dxa" w:w="270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19"/>
              </w:rPr>
              <w:t>Prazo</w:t>
            </w:r>
          </w:p>
        </w:tc>
        <w:tc>
          <w:tcPr>
            <w:tcW w:type="dxa" w:w="6660"/>
            <w:shd w:fill="F4F7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7372F"/>
                <w:sz w:val="19"/>
              </w:rPr>
              <w:t>Máximo de seis meses; alterações relevantes de escopo poderão exigir replanejamento formal.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Condição estratégica</w:t>
      </w:r>
    </w:p>
    <w:p>
      <w:pPr>
        <w:keepNext w:val="0"/>
        <w:keepLines w:val="0"/>
        <w:spacing w:before="0" w:after="160" w:line="320" w:lineRule="auto"/>
        <w:jc w:val="left"/>
      </w:pPr>
      <w:r>
        <w:rPr>
          <w:rFonts w:ascii="Calibri" w:hAnsi="Calibri" w:eastAsia="Calibri"/>
          <w:b w:val="0"/>
          <w:i w:val="0"/>
          <w:color w:val="17372F"/>
          <w:sz w:val="22"/>
        </w:rPr>
        <w:t>O valor proposto é uma condição especial, de caráter familiar e estratégico. A referência habitual de custo para a mesma dedicação é aproximadamente quatro vezes maior. Como comparação privada, o projeto Autisfera foi estruturado em € 40.000 e 10% de participação societária.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8F4F0" w:val="clear"/>
            <w:tcBorders>
              <w:left w:val="single" w:sz="18" w:space="0" w:color="0B7B68"/>
            </w:tcBorders>
          </w:tcPr>
          <w:p>
            <w:pPr>
              <w:keepNext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3"/>
              </w:rPr>
              <w:t>Sem participação societária na Fase 1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color w:val="17372F"/>
                <w:sz w:val="21"/>
              </w:rPr>
              <w:t>Nesta etapa, não haverá equity nem participação societária. O foco será exclusivamente tornar o produto da Vivance operacional e validado, evitando o atrito de abertura financeira, diligência contábil e governança societária antes de existir prova de produto.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p>
      <w:pPr>
        <w:keepNext w:val="0"/>
        <w:keepLines w:val="0"/>
        <w:spacing w:before="0" w:after="0" w:line="288" w:lineRule="auto"/>
        <w:jc w:val="left"/>
      </w:pPr>
      <w:r>
        <w:rPr>
          <w:rFonts w:ascii="Calibri" w:hAnsi="Calibri" w:eastAsia="Calibri"/>
          <w:b w:val="0"/>
          <w:i/>
          <w:color w:val="60766F"/>
          <w:sz w:val="19"/>
        </w:rPr>
        <w:t>Propriedade intelectual, titularidade do código, uso de marcas, tratamento de dados, licença, suporte e condições de encerramento serão definidos no contrato definitivo.</w:t>
      </w:r>
    </w:p>
    <w:p>
      <w:pPr>
        <w:spacing w:after="0"/>
      </w:pPr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B7B68" w:val="clea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4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32"/>
              </w:rPr>
              <w:t>Fase 2: parceria comercial e escala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60766F"/>
                <w:sz w:val="19"/>
              </w:rPr>
              <w:t>Acordo separado após a validação do MVP</w:t>
            </w:r>
          </w:p>
        </w:tc>
      </w:tr>
    </w:tbl>
    <w:p>
      <w:pPr>
        <w:keepNext w:val="0"/>
        <w:keepLines w:val="0"/>
        <w:spacing w:before="0" w:after="40" w:line="240" w:lineRule="auto"/>
        <w:jc w:val="left"/>
      </w:pPr>
    </w:p>
    <w:p>
      <w:pPr>
        <w:keepNext w:val="0"/>
        <w:keepLines w:val="0"/>
        <w:spacing w:before="0" w:after="200" w:line="320" w:lineRule="auto"/>
        <w:jc w:val="left"/>
      </w:pPr>
      <w:r>
        <w:rPr>
          <w:rFonts w:ascii="Calibri" w:hAnsi="Calibri" w:eastAsia="Calibri"/>
          <w:b w:val="0"/>
          <w:i w:val="0"/>
          <w:color w:val="17372F"/>
          <w:sz w:val="22"/>
        </w:rPr>
        <w:t>Com o MVP validado na Vivance e evidências reais de uso, a proposta evolui para uma parceria comercial. A Vivance funciona como operação de referência; o produto passa a ser preparado para venda a outras clínicas, expansão internacional e escala de negócio.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17372F" w:val="clear"/>
            <w:tcBorders>
              <w:left w:val="single" w:sz="18" w:space="0" w:color="0B7B68"/>
            </w:tcBorders>
          </w:tcPr>
          <w:p>
            <w:pPr>
              <w:keepNext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3"/>
              </w:rPr>
              <w:t>Participação comercial proposta: 15%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color w:val="D9EEE8"/>
                <w:sz w:val="21"/>
              </w:rPr>
              <w:t>Na Fase 2, a parceria prevê participação comercial de 15% nas vendas do produto para outras clínicas. A base de cálculo, o prazo, a atribuição das vendas, impostos, cancelamentos, inadimplência e regras de pagamento serão definidos em instrumento específico.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Frentes de expansão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Produto multi-clínica. </w:t>
      </w:r>
      <w:r>
        <w:rPr>
          <w:rFonts w:ascii="Calibri" w:hAnsi="Calibri" w:eastAsia="Calibri"/>
          <w:color w:val="17372F"/>
          <w:sz w:val="22"/>
        </w:rPr>
        <w:t>Padronização, configuração por operação, permissões, relatórios e experiência de implantação.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Versão global. </w:t>
      </w:r>
      <w:r>
        <w:rPr>
          <w:rFonts w:ascii="Calibri" w:hAnsi="Calibri" w:eastAsia="Calibri"/>
          <w:color w:val="17372F"/>
          <w:sz w:val="22"/>
        </w:rPr>
        <w:t>Preparação de arquitetura, idioma, integrações, segurança e modelo comercial para novos mercados.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Crescimento e vendas. </w:t>
      </w:r>
      <w:r>
        <w:rPr>
          <w:rFonts w:ascii="Calibri" w:hAnsi="Calibri" w:eastAsia="Calibri"/>
          <w:color w:val="17372F"/>
          <w:sz w:val="22"/>
        </w:rPr>
        <w:t>Posicionamento, demonstração, materiais comerciais, pilotos e aquisição das primeiras clínicas.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Ecossistema de expansão. </w:t>
      </w:r>
      <w:r>
        <w:rPr>
          <w:rFonts w:ascii="Calibri" w:hAnsi="Calibri" w:eastAsia="Calibri"/>
          <w:color w:val="17372F"/>
          <w:sz w:val="22"/>
        </w:rPr>
        <w:t>Inclusão do Slompo na frente de crescimento, relacionamento com investidores e estruturação de oportunidades estratégicas.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0"/>
        </w:numPr>
      </w:pPr>
      <w:r>
        <w:rPr>
          <w:rFonts w:ascii="Calibri" w:hAnsi="Calibri" w:eastAsia="Calibri"/>
          <w:b/>
          <w:color w:val="17372F"/>
          <w:sz w:val="22"/>
        </w:rPr>
        <w:t xml:space="preserve">Captação com prova real. </w:t>
      </w:r>
      <w:r>
        <w:rPr>
          <w:rFonts w:ascii="Calibri" w:hAnsi="Calibri" w:eastAsia="Calibri"/>
          <w:color w:val="17372F"/>
          <w:sz w:val="22"/>
        </w:rPr>
        <w:t>Aproximação de investidores com produto em uso, métricas, casos e uma tese de escala mais defensável.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Pontos a formalizar antes do início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3DF"/>
          <w:left w:val="single" w:sz="6" w:space="0" w:color="D7E3DF"/>
          <w:bottom w:val="single" w:sz="6" w:space="0" w:color="D7E3DF"/>
          <w:right w:val="single" w:sz="6" w:space="0" w:color="D7E3DF"/>
          <w:insideH w:val="single" w:sz="6" w:space="0" w:color="D7E3DF"/>
          <w:insideV w:val="single" w:sz="6" w:space="0" w:color="D7E3D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Fase 1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Escopo fechado do MVP, critérios de aceite, calendário de pagamentos, suporte, propriedade intelectual e encerramento.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Dados e conformidade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Papéis LGPD, segurança, consentimentos, fornecedores, retenção e resposta a incidentes.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Fase 2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Base e duração dos 15%, territórios, atribuição de vendas, exclusividade, despesas e governança comercial.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DF7F4" w:val="clear"/>
          </w:tcPr>
          <w:p>
            <w:pPr>
              <w:keepNext w:val="0"/>
              <w:keepLines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1"/>
              </w:rPr>
              <w:t>Investimento futuro</w:t>
            </w:r>
          </w:p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color w:val="17372F"/>
                <w:sz w:val="18"/>
              </w:rPr>
              <w:t>Papel do Slompo, processo de captação, participação de terceiros e decisões sobre estrutura societária.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B7B68" w:val="clea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4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7372F"/>
                <w:sz w:val="32"/>
              </w:rPr>
              <w:t>Próximos passos</w:t>
            </w:r>
          </w:p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60766F"/>
                <w:sz w:val="19"/>
              </w:rPr>
              <w:t>Do alinhamento comercial ao kickoff</w:t>
            </w:r>
          </w:p>
        </w:tc>
      </w:tr>
    </w:tbl>
    <w:p>
      <w:pPr>
        <w:keepNext w:val="0"/>
        <w:keepLines w:val="0"/>
        <w:spacing w:before="0" w:after="40" w:line="240" w:lineRule="auto"/>
        <w:jc w:val="left"/>
      </w:pPr>
    </w:p>
    <w:p>
      <w:pPr>
        <w:keepNext w:val="0"/>
        <w:keepLines w:val="0"/>
        <w:spacing w:before="0" w:after="240" w:line="320" w:lineRule="auto"/>
        <w:jc w:val="left"/>
      </w:pPr>
      <w:r>
        <w:rPr>
          <w:rFonts w:ascii="Calibri" w:hAnsi="Calibri" w:eastAsia="Calibri"/>
          <w:b w:val="0"/>
          <w:i w:val="0"/>
          <w:color w:val="17372F"/>
          <w:sz w:val="22"/>
        </w:rPr>
        <w:t>A aprovação desta proposta confirma o interesse em avançar para a elaboração do contrato definitivo. O início da execução ocorrerá após o fechamento do escopo, a formalização contratual e a aprovação do primeiro ciclo mensal.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 w:eastAsia="Calibri"/>
          <w:b/>
          <w:color w:val="17372F"/>
          <w:sz w:val="22"/>
        </w:rPr>
        <w:t xml:space="preserve">Confirmar o alinhamento comercial. </w:t>
      </w:r>
      <w:r>
        <w:rPr>
          <w:rFonts w:ascii="Calibri" w:hAnsi="Calibri" w:eastAsia="Calibri"/>
          <w:color w:val="17372F"/>
          <w:sz w:val="22"/>
        </w:rPr>
        <w:t>Validar investimento, prazo e estrutura das duas fases.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 w:eastAsia="Calibri"/>
          <w:b/>
          <w:color w:val="17372F"/>
          <w:sz w:val="22"/>
        </w:rPr>
        <w:t xml:space="preserve">Fechar o escopo do MVP. </w:t>
      </w:r>
      <w:r>
        <w:rPr>
          <w:rFonts w:ascii="Calibri" w:hAnsi="Calibri" w:eastAsia="Calibri"/>
          <w:color w:val="17372F"/>
          <w:sz w:val="22"/>
        </w:rPr>
        <w:t>Selecionar jornadas essenciais, integrações, métricas e critérios de aceite.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 w:eastAsia="Calibri"/>
          <w:b/>
          <w:color w:val="17372F"/>
          <w:sz w:val="22"/>
        </w:rPr>
        <w:t xml:space="preserve">Formalizar a contratação. </w:t>
      </w:r>
      <w:r>
        <w:rPr>
          <w:rFonts w:ascii="Calibri" w:hAnsi="Calibri" w:eastAsia="Calibri"/>
          <w:color w:val="17372F"/>
          <w:sz w:val="22"/>
        </w:rPr>
        <w:t>Assinar o instrumento definitivo e aprovar o primeiro ciclo mensal.</w:t>
      </w:r>
    </w:p>
    <w:p>
      <w:pPr>
        <w:keepNext w:val="0"/>
        <w:keepLines/>
        <w:spacing w:before="0" w:after="80" w:line="290" w:lineRule="auto"/>
        <w:jc w:val="left"/>
        <w:numPr>
          <w:ilvl w:val="0"/>
          <w:numId w:val="11"/>
        </w:numPr>
      </w:pPr>
      <w:r>
        <w:rPr>
          <w:rFonts w:ascii="Calibri" w:hAnsi="Calibri" w:eastAsia="Calibri"/>
          <w:b/>
          <w:color w:val="17372F"/>
          <w:sz w:val="22"/>
        </w:rPr>
        <w:t xml:space="preserve">Realizar o kickoff. </w:t>
      </w:r>
      <w:r>
        <w:rPr>
          <w:rFonts w:ascii="Calibri" w:hAnsi="Calibri" w:eastAsia="Calibri"/>
          <w:color w:val="17372F"/>
          <w:sz w:val="22"/>
        </w:rPr>
        <w:t>Definir responsáveis, cadência de decisões e calendário do piloto.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color w:val="0B7B68"/>
          <w:sz w:val="26"/>
        </w:rPr>
        <w:t>Confirmação para avançar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E8F4F0" w:val="clear"/>
            <w:tcBorders>
              <w:left w:val="single" w:sz="18" w:space="0" w:color="0B7B68"/>
            </w:tcBorders>
          </w:tcPr>
          <w:p>
            <w:pPr>
              <w:keepNext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75F52"/>
                <w:sz w:val="23"/>
              </w:rPr>
              <w:t>Próxima ação sugerida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color w:val="17372F"/>
                <w:sz w:val="21"/>
              </w:rPr>
              <w:t>Responder com a confirmação do alinhamento comercial e indicar os responsáveis pela validação clínica e administrativa. Em seguida, será preparada a versão contratual com o escopo detalhado do primeiro ciclo.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p>
      <w:pPr>
        <w:keepNext w:val="0"/>
        <w:keepLines w:val="0"/>
        <w:spacing w:before="0" w:after="1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  <w:shd w:fill="FFF4D8" w:val="clear"/>
            <w:tcBorders>
              <w:left w:val="single" w:sz="18" w:space="0" w:color="9B6514"/>
            </w:tcBorders>
          </w:tcPr>
          <w:p>
            <w:pPr>
              <w:keepNext/>
              <w:keepLines/>
              <w:spacing w:before="0" w:after="10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6514"/>
                <w:sz w:val="23"/>
              </w:rPr>
              <w:t>Proposta em uma frase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color w:val="17372F"/>
                <w:sz w:val="21"/>
              </w:rPr>
              <w:t>Construímos o produto para a Vivance com risco controlado e sem equity na primeira fase; depois, com o MVP validado e a operação mostrando tração, escalamos juntos para outras clínicas e mercados.</w:t>
            </w:r>
          </w:p>
        </w:tc>
      </w:tr>
    </w:tbl>
    <w:p>
      <w:pPr>
        <w:keepNext w:val="0"/>
        <w:keepLines w:val="0"/>
        <w:spacing w:before="0" w:after="80" w:line="240" w:lineRule="auto"/>
        <w:jc w:val="left"/>
      </w:pPr>
    </w:p>
    <w:p>
      <w:pPr>
        <w:keepNext w:val="0"/>
        <w:keepLines w:val="0"/>
        <w:spacing w:before="0" w:after="0" w:line="240" w:lineRule="auto"/>
        <w:jc w:val="center"/>
      </w:pPr>
      <w:r>
        <w:rPr>
          <w:rFonts w:ascii="Calibri" w:hAnsi="Calibri" w:eastAsia="Calibri"/>
          <w:b w:val="0"/>
          <w:i/>
          <w:color w:val="60766F"/>
          <w:sz w:val="17"/>
        </w:rPr>
        <w:t>Esta proposta é confidencial e não substitui o contrato definitivo.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rPr>
        <w:cantSplit/>
      </w:trP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/>
            <w:spacing w:before="0" w:after="0" w:line="240" w:lineRule="auto"/>
            <w:jc w:val="left"/>
          </w:pPr>
          <w:r>
            <w:rPr>
              <w:rFonts w:ascii="Calibri" w:hAnsi="Calibri" w:eastAsia="Calibri"/>
              <w:b w:val="0"/>
              <w:i w:val="0"/>
              <w:color w:val="60766F"/>
              <w:sz w:val="17"/>
            </w:rPr>
            <w:t>Proposta comercial | 28 de agosto de 2026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/>
            <w:spacing w:before="0" w:after="0" w:line="240" w:lineRule="auto"/>
            <w:jc w:val="right"/>
          </w:pPr>
          <w:r>
            <w:rPr>
              <w:rFonts w:ascii="Calibri" w:hAnsi="Calibri" w:eastAsia="Calibri"/>
              <w:color w:val="60766F"/>
              <w:sz w:val="17"/>
            </w:rPr>
            <w:t xml:space="preserve">Página </w:t>
          </w:r>
          <w:fldSimple w:instr="PAGE">
            <w:r>
              <w:rPr>
                <w:color w:val="60766F"/>
                <w:sz w:val="17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/>
            <w:spacing w:before="0" w:after="0" w:line="240" w:lineRule="auto"/>
            <w:jc w:val="left"/>
          </w:pPr>
          <w:r>
            <w:rPr>
              <w:rFonts w:ascii="Calibri" w:hAnsi="Calibri" w:eastAsia="Calibri"/>
              <w:b/>
              <w:i w:val="0"/>
              <w:color w:val="075F52"/>
              <w:sz w:val="17"/>
            </w:rPr>
            <w:t>INSTITUTO VIVANCE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/>
            <w:spacing w:before="0" w:after="0" w:line="240" w:lineRule="auto"/>
            <w:jc w:val="right"/>
          </w:pPr>
          <w:r>
            <w:rPr>
              <w:rFonts w:ascii="Calibri" w:hAnsi="Calibri" w:eastAsia="Calibri"/>
              <w:b/>
              <w:i w:val="0"/>
              <w:color w:val="60766F"/>
              <w:sz w:val="17"/>
            </w:rPr>
            <w:t>PROPOSTA 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  <w:spacing w:after="80" w:line="29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737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37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7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737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- Instituto Vivance</dc:title>
  <dc:subject>Desenvolvimento do MVP e parceria comercial para expansão</dc:subject>
  <dc:creator>Instituto Vivance</dc:creator>
  <cp:keywords>Instituto Vivance, MVP, saúde digital, inteligência artificial, parceria comercial</cp:keywords>
  <dc:description>Documento-base para alinhamento comercial.</dc:description>
  <cp:lastModifiedBy>Instituto Vivance</cp:lastModifiedBy>
  <cp:revision>1</cp:revision>
  <dcterms:created xsi:type="dcterms:W3CDTF">2013-12-23T23:15:00Z</dcterms:created>
  <dcterms:modified xsi:type="dcterms:W3CDTF">2013-12-23T23:15:00Z</dcterms:modified>
  <cp:category/>
</cp:coreProperties>
</file>