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5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Médio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precisa incluir, alterar, remover ou consultar os dados de um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pertencente ao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Cadastro &gt; Manter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Sistema exibe tela listando todos 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serviços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cadastrados com opção de busca pelo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nome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o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Dados do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Inserir Novo </w:t>
      </w:r>
      <w:r w:rsidDel="00000000" w:rsidR="00000000" w:rsidRPr="00000000">
        <w:rPr>
          <w:b w:val="0"/>
          <w:rtl w:val="0"/>
        </w:rPr>
        <w:t xml:space="preserve">Serviço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mais (+)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caixa de texto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branco para preenchimento do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dos dados.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 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b w:val="0"/>
          <w:rtl w:val="0"/>
        </w:rPr>
        <w:t xml:space="preserve">Serviço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"Ícone de consultar (olho)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todos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Serviço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de remover (lixeira)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selecionado e a mensagem “Deseja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excluir?"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exclui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não pode ser excluído. Sistema exibe mensagem “O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não pode ser excluído.”.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do </w:t>
      </w:r>
      <w:r w:rsidDel="00000000" w:rsidR="00000000" w:rsidRPr="00000000">
        <w:rPr>
          <w:b w:val="0"/>
          <w:rtl w:val="0"/>
        </w:rPr>
        <w:t xml:space="preserve">Serviço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de editar (lápis)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Tela_1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dos dados conforme.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Vitor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/04/202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Caio Morais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Protótipo de Telas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