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ff0000"/>
          <w:sz w:val="32"/>
          <w:szCs w:val="32"/>
          <w:rtl w:val="0"/>
        </w:rPr>
        <w:t xml:space="preserve">MRN</w:t>
      </w:r>
      <w:r w:rsidDel="00000000" w:rsidR="00000000" w:rsidRPr="00000000">
        <w:rPr>
          <w:rFonts w:ascii="Times New Roman" w:cs="Times New Roman" w:eastAsia="Times New Roman" w:hAnsi="Times New Roman"/>
          <w:sz w:val="32"/>
          <w:szCs w:val="32"/>
          <w:rtl w:val="0"/>
        </w:rPr>
        <w:t xml:space="preserve">: Mais Serviços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RN01</w:t>
            </w:r>
            <w:r w:rsidDel="00000000" w:rsidR="00000000" w:rsidRPr="00000000">
              <w:rPr>
                <w:rFonts w:ascii="Times New Roman" w:cs="Times New Roman" w:eastAsia="Times New Roman" w:hAnsi="Times New Roman"/>
                <w:sz w:val="24"/>
                <w:szCs w:val="24"/>
                <w:rtl w:val="0"/>
              </w:rPr>
              <w:t xml:space="preserve">: Prazo de Pagamento do Cliente ao Prestador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cliente deve pagar o prestador por seu serviço em até 3 dias. Após a conclusão do serviço, o cliente recebe uma fatura com o valor devido e o prazo de pagamento. Uma vez que o pagamento é feito com sucesso, o prestador é notificado e recebe a confirmação.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bl>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RN02</w:t>
            </w:r>
            <w:r w:rsidDel="00000000" w:rsidR="00000000" w:rsidRPr="00000000">
              <w:rPr>
                <w:rFonts w:ascii="Times New Roman" w:cs="Times New Roman" w:eastAsia="Times New Roman" w:hAnsi="Times New Roman"/>
                <w:sz w:val="24"/>
                <w:szCs w:val="24"/>
                <w:rtl w:val="0"/>
              </w:rPr>
              <w:t xml:space="preserve">: Cálculo da Multa do Atraso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Uma multa de 5% sobre o valor total do serviço é aplicada aos clientes que atrasam o pagamento.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bl>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RN03</w:t>
            </w:r>
            <w:r w:rsidDel="00000000" w:rsidR="00000000" w:rsidRPr="00000000">
              <w:rPr>
                <w:rFonts w:ascii="Times New Roman" w:cs="Times New Roman" w:eastAsia="Times New Roman" w:hAnsi="Times New Roman"/>
                <w:sz w:val="24"/>
                <w:szCs w:val="24"/>
                <w:rtl w:val="0"/>
              </w:rPr>
              <w:t xml:space="preserve">: Cálculo da Multa do Atraso do Prestador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Uma multa de 10% sobre o valor total do serviço contratado pode ser aplicada ao prestador que não cumprir suas obrigações. Além disso, dependendo da gravidade do descumprimento, pode ocorrer suspensão temporária ou permanente do prestador na plataforma, afetando sua reputação e possibilidade de receber novos trabalhos.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bl>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