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8F" w:rsidRDefault="00BB718F" w:rsidP="00BB718F">
      <w:pPr>
        <w:rPr>
          <w:rFonts w:ascii="Arial" w:hAnsi="Arial" w:cs="Arial"/>
          <w:sz w:val="20"/>
          <w:szCs w:val="20"/>
        </w:rPr>
      </w:pPr>
    </w:p>
    <w:p w:rsidR="00BB718F" w:rsidRDefault="00BB718F" w:rsidP="00BB718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B718F" w:rsidRDefault="00BB718F" w:rsidP="00BB718F">
      <w:pPr>
        <w:rPr>
          <w:rFonts w:ascii="Arial" w:hAnsi="Arial" w:cs="Arial"/>
          <w:b/>
        </w:rPr>
      </w:pPr>
      <w:r w:rsidRPr="00BB718F">
        <w:rPr>
          <w:rFonts w:ascii="Arial" w:hAnsi="Arial" w:cs="Arial"/>
          <w:sz w:val="20"/>
          <w:szCs w:val="20"/>
        </w:rPr>
        <w:t>Datum</w:t>
      </w:r>
      <w:r w:rsidRPr="00DE7752">
        <w:rPr>
          <w:rFonts w:ascii="Arial" w:hAnsi="Arial" w:cs="Arial"/>
          <w:sz w:val="20"/>
          <w:szCs w:val="20"/>
        </w:rPr>
        <w:t xml:space="preserve">: </w:t>
      </w:r>
      <w:r w:rsidR="00DE7752" w:rsidRPr="00DE7752">
        <w:rPr>
          <w:rFonts w:ascii="Arial" w:hAnsi="Arial" w:cs="Arial"/>
          <w:sz w:val="20"/>
          <w:szCs w:val="20"/>
        </w:rPr>
        <w:t>10.</w:t>
      </w:r>
      <w:r w:rsidR="00035CBE" w:rsidRPr="00DE7752">
        <w:rPr>
          <w:rFonts w:ascii="Arial" w:hAnsi="Arial" w:cs="Arial"/>
          <w:sz w:val="20"/>
          <w:szCs w:val="20"/>
        </w:rPr>
        <w:t xml:space="preserve"> 12.</w:t>
      </w:r>
      <w:r w:rsidR="00035CBE">
        <w:rPr>
          <w:rFonts w:ascii="Arial" w:hAnsi="Arial" w:cs="Arial"/>
          <w:sz w:val="20"/>
          <w:szCs w:val="20"/>
        </w:rPr>
        <w:t xml:space="preserve"> 201</w:t>
      </w:r>
      <w:r w:rsidR="00AC6A41">
        <w:rPr>
          <w:rFonts w:ascii="Arial" w:hAnsi="Arial" w:cs="Arial"/>
          <w:sz w:val="20"/>
          <w:szCs w:val="20"/>
        </w:rPr>
        <w:t>9</w:t>
      </w:r>
    </w:p>
    <w:p w:rsidR="00BB718F" w:rsidRDefault="00BB718F" w:rsidP="00BB718F">
      <w:pPr>
        <w:rPr>
          <w:rFonts w:ascii="Arial" w:hAnsi="Arial" w:cs="Arial"/>
          <w:b/>
        </w:rPr>
      </w:pPr>
    </w:p>
    <w:p w:rsidR="00BB718F" w:rsidRDefault="00BF5211" w:rsidP="00BB71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BB718F" w:rsidRPr="009F258A" w:rsidRDefault="00255752" w:rsidP="00BB71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Obvestilo o lestvici</w:t>
      </w:r>
      <w:r w:rsidR="00BB718F" w:rsidRPr="009F258A">
        <w:rPr>
          <w:rFonts w:ascii="Arial" w:hAnsi="Arial" w:cs="Arial"/>
          <w:b/>
        </w:rPr>
        <w:t xml:space="preserve"> za odmero dohodnine in olajšave za leto 20</w:t>
      </w:r>
      <w:r w:rsidR="00AC6A41">
        <w:rPr>
          <w:rFonts w:ascii="Arial" w:hAnsi="Arial" w:cs="Arial"/>
          <w:b/>
        </w:rPr>
        <w:t>20</w:t>
      </w:r>
    </w:p>
    <w:p w:rsidR="00BB718F" w:rsidRDefault="00BB718F" w:rsidP="00BB718F">
      <w:pPr>
        <w:rPr>
          <w:rFonts w:ascii="Arial" w:hAnsi="Arial" w:cs="Arial"/>
          <w:b/>
          <w:sz w:val="20"/>
          <w:szCs w:val="20"/>
        </w:rPr>
      </w:pPr>
    </w:p>
    <w:p w:rsidR="00721F39" w:rsidRPr="00472EE9" w:rsidRDefault="00721F39" w:rsidP="00BB718F">
      <w:pPr>
        <w:rPr>
          <w:rFonts w:ascii="Arial" w:hAnsi="Arial" w:cs="Arial"/>
          <w:b/>
          <w:sz w:val="20"/>
          <w:szCs w:val="20"/>
        </w:rPr>
      </w:pPr>
    </w:p>
    <w:p w:rsidR="00BB718F" w:rsidRPr="006A1C09" w:rsidRDefault="00AC6A41" w:rsidP="00BB718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 skladu z določili Zakona o dohodnini – ZDoh-2 </w:t>
      </w:r>
      <w:r w:rsidRPr="00AC6A41">
        <w:rPr>
          <w:rFonts w:ascii="Arial" w:hAnsi="Arial" w:cs="Arial"/>
          <w:sz w:val="20"/>
          <w:szCs w:val="20"/>
        </w:rPr>
        <w:t xml:space="preserve">(Uradni list RS, št. 13/11 – uradno prečiščeno besedilo, 9/12 – </w:t>
      </w:r>
      <w:proofErr w:type="spellStart"/>
      <w:r w:rsidRPr="00AC6A41">
        <w:rPr>
          <w:rFonts w:ascii="Arial" w:hAnsi="Arial" w:cs="Arial"/>
          <w:sz w:val="20"/>
          <w:szCs w:val="20"/>
        </w:rPr>
        <w:t>odl</w:t>
      </w:r>
      <w:proofErr w:type="spellEnd"/>
      <w:r w:rsidRPr="00AC6A41">
        <w:rPr>
          <w:rFonts w:ascii="Arial" w:hAnsi="Arial" w:cs="Arial"/>
          <w:sz w:val="20"/>
          <w:szCs w:val="20"/>
        </w:rPr>
        <w:t xml:space="preserve">. US, 24/12, 30/12, 40/12 – ZUJF, 75/12, 94/12, 52/13 – </w:t>
      </w:r>
      <w:proofErr w:type="spellStart"/>
      <w:r w:rsidRPr="00AC6A41">
        <w:rPr>
          <w:rFonts w:ascii="Arial" w:hAnsi="Arial" w:cs="Arial"/>
          <w:sz w:val="20"/>
          <w:szCs w:val="20"/>
        </w:rPr>
        <w:t>odl</w:t>
      </w:r>
      <w:proofErr w:type="spellEnd"/>
      <w:r w:rsidRPr="00AC6A41">
        <w:rPr>
          <w:rFonts w:ascii="Arial" w:hAnsi="Arial" w:cs="Arial"/>
          <w:sz w:val="20"/>
          <w:szCs w:val="20"/>
        </w:rPr>
        <w:t xml:space="preserve">. US, 96/13, 29/14 – </w:t>
      </w:r>
      <w:proofErr w:type="spellStart"/>
      <w:r w:rsidRPr="00AC6A41">
        <w:rPr>
          <w:rFonts w:ascii="Arial" w:hAnsi="Arial" w:cs="Arial"/>
          <w:sz w:val="20"/>
          <w:szCs w:val="20"/>
        </w:rPr>
        <w:t>odl</w:t>
      </w:r>
      <w:proofErr w:type="spellEnd"/>
      <w:r w:rsidRPr="00AC6A41">
        <w:rPr>
          <w:rFonts w:ascii="Arial" w:hAnsi="Arial" w:cs="Arial"/>
          <w:sz w:val="20"/>
          <w:szCs w:val="20"/>
        </w:rPr>
        <w:t>. US, 50/14, 23/15, 55/15, 63/16, 69/17, 21/19, 28/19 in 66/19)</w:t>
      </w:r>
      <w:r w:rsidR="00FB5F5F">
        <w:rPr>
          <w:rFonts w:ascii="Arial" w:hAnsi="Arial" w:cs="Arial"/>
          <w:sz w:val="20"/>
          <w:szCs w:val="20"/>
        </w:rPr>
        <w:t xml:space="preserve"> veljajo za davčno leto 2020 naslednje stopnje dohodnine in olajšave: </w:t>
      </w: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Y="514"/>
        <w:tblW w:w="863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985"/>
        <w:gridCol w:w="1411"/>
        <w:gridCol w:w="3401"/>
      </w:tblGrid>
      <w:tr w:rsidR="00035CBE" w:rsidRPr="006A1C09" w:rsidTr="00BF5211">
        <w:trPr>
          <w:tblCellSpacing w:w="7" w:type="dxa"/>
        </w:trPr>
        <w:tc>
          <w:tcPr>
            <w:tcW w:w="22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Če znaša neto letna</w:t>
            </w:r>
            <w:r w:rsidRPr="006A1C09">
              <w:rPr>
                <w:rFonts w:ascii="Arial" w:hAnsi="Arial" w:cs="Arial"/>
                <w:b/>
                <w:bCs/>
                <w:color w:val="323232"/>
                <w:sz w:val="17"/>
                <w:szCs w:val="17"/>
              </w:rPr>
              <w:br/>
            </w: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davčna osnova v eurih</w:t>
            </w:r>
          </w:p>
        </w:tc>
        <w:tc>
          <w:tcPr>
            <w:tcW w:w="277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Znaša dohodnina v eurih</w:t>
            </w:r>
          </w:p>
        </w:tc>
      </w:tr>
      <w:tr w:rsidR="00035CBE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Nad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Do</w:t>
            </w: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5CBE" w:rsidRPr="006A1C09" w:rsidRDefault="00035CBE" w:rsidP="00035CBE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  </w:t>
            </w:r>
          </w:p>
        </w:tc>
      </w:tr>
      <w:tr w:rsidR="0070712A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8.500,00</w:t>
            </w: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007349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    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16 %</w:t>
            </w:r>
          </w:p>
        </w:tc>
      </w:tr>
      <w:tr w:rsidR="0070712A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8.500,00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25.000,00</w:t>
            </w: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1.360,00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  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+ 26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%  nad 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8.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500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,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00</w:t>
            </w:r>
          </w:p>
        </w:tc>
      </w:tr>
      <w:tr w:rsidR="0070712A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25.000,00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50.000,00</w:t>
            </w: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5.650,00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70712A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 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+ 3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3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%  nad 2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5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.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0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00,00</w:t>
            </w:r>
          </w:p>
        </w:tc>
      </w:tr>
      <w:tr w:rsidR="0070712A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50.000,00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72.000,00</w:t>
            </w: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13.900,00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 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+ 39 %  nad 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>50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.000,00</w:t>
            </w:r>
          </w:p>
        </w:tc>
      </w:tr>
      <w:tr w:rsidR="0070712A" w:rsidRPr="006A1C09" w:rsidTr="00BF5211">
        <w:trPr>
          <w:trHeight w:val="218"/>
          <w:tblCellSpacing w:w="7" w:type="dxa"/>
        </w:trPr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72.000,00</w:t>
            </w:r>
          </w:p>
        </w:tc>
        <w:tc>
          <w:tcPr>
            <w:tcW w:w="11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12A" w:rsidRPr="0070712A" w:rsidRDefault="0070712A" w:rsidP="0070712A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0712A">
              <w:rPr>
                <w:rFonts w:ascii="Arial" w:hAnsi="Arial" w:cs="Arial"/>
                <w:color w:val="323232"/>
                <w:sz w:val="17"/>
                <w:szCs w:val="17"/>
              </w:rPr>
              <w:t>22.480,00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0712A" w:rsidRPr="006A1C09" w:rsidRDefault="00BF5211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   + 50 %  nad 72</w:t>
            </w:r>
            <w:r w:rsidR="0070712A" w:rsidRPr="006A1C09">
              <w:rPr>
                <w:rFonts w:ascii="Arial" w:hAnsi="Arial" w:cs="Arial"/>
                <w:color w:val="323232"/>
                <w:sz w:val="17"/>
                <w:szCs w:val="17"/>
              </w:rPr>
              <w:t>.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000</w:t>
            </w:r>
            <w:r w:rsidR="0070712A" w:rsidRPr="006A1C09">
              <w:rPr>
                <w:rFonts w:ascii="Arial" w:hAnsi="Arial" w:cs="Arial"/>
                <w:color w:val="323232"/>
                <w:sz w:val="17"/>
                <w:szCs w:val="17"/>
              </w:rPr>
              <w:t>,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0</w:t>
            </w:r>
            <w:r w:rsidR="0070712A" w:rsidRPr="006A1C09">
              <w:rPr>
                <w:rFonts w:ascii="Arial" w:hAnsi="Arial" w:cs="Arial"/>
                <w:color w:val="323232"/>
                <w:sz w:val="17"/>
                <w:szCs w:val="17"/>
              </w:rPr>
              <w:t>0</w:t>
            </w:r>
          </w:p>
        </w:tc>
      </w:tr>
    </w:tbl>
    <w:p w:rsidR="00BB718F" w:rsidRDefault="00BB718F" w:rsidP="00BB718F">
      <w:pPr>
        <w:rPr>
          <w:rFonts w:ascii="Arial" w:hAnsi="Arial" w:cs="Arial"/>
          <w:sz w:val="20"/>
          <w:szCs w:val="20"/>
        </w:rPr>
      </w:pPr>
      <w:r w:rsidRPr="006A1C09">
        <w:rPr>
          <w:rFonts w:ascii="Arial" w:hAnsi="Arial" w:cs="Arial"/>
          <w:b/>
          <w:sz w:val="22"/>
          <w:szCs w:val="22"/>
        </w:rPr>
        <w:t>Stopnje dohodnine</w:t>
      </w:r>
      <w:r w:rsidRPr="006A1C09">
        <w:rPr>
          <w:rFonts w:ascii="Arial" w:hAnsi="Arial" w:cs="Arial"/>
          <w:sz w:val="20"/>
          <w:szCs w:val="20"/>
        </w:rPr>
        <w:t>:</w:t>
      </w:r>
    </w:p>
    <w:p w:rsidR="00BB718F" w:rsidRPr="006A1C09" w:rsidRDefault="00BB718F" w:rsidP="00BB718F">
      <w:pPr>
        <w:pStyle w:val="Navadensplet"/>
        <w:rPr>
          <w:rFonts w:ascii="Arial" w:hAnsi="Arial" w:cs="Arial"/>
        </w:rPr>
      </w:pPr>
      <w:r w:rsidRPr="006A1C09">
        <w:rPr>
          <w:rFonts w:ascii="Arial" w:hAnsi="Arial" w:cs="Arial"/>
        </w:rPr>
        <w:t> </w:t>
      </w:r>
    </w:p>
    <w:p w:rsidR="00AC6A41" w:rsidRDefault="00AC6A41" w:rsidP="00BB718F">
      <w:pPr>
        <w:pStyle w:val="contentzone"/>
        <w:rPr>
          <w:rFonts w:ascii="Arial" w:hAnsi="Arial" w:cs="Arial"/>
          <w:sz w:val="20"/>
          <w:szCs w:val="20"/>
        </w:rPr>
      </w:pPr>
    </w:p>
    <w:p w:rsidR="00BB718F" w:rsidRPr="00FB5F5F" w:rsidRDefault="00BB718F" w:rsidP="00BB718F">
      <w:pPr>
        <w:pStyle w:val="contentzone"/>
        <w:rPr>
          <w:rFonts w:ascii="Arial" w:hAnsi="Arial" w:cs="Arial"/>
          <w:color w:val="auto"/>
          <w:sz w:val="20"/>
          <w:szCs w:val="20"/>
        </w:rPr>
      </w:pPr>
      <w:r w:rsidRPr="00FB5F5F">
        <w:rPr>
          <w:rFonts w:ascii="Arial" w:hAnsi="Arial" w:cs="Arial"/>
          <w:color w:val="auto"/>
          <w:sz w:val="20"/>
          <w:szCs w:val="20"/>
        </w:rPr>
        <w:t>Pri izračunu akontacije dohodnine od dohodka iz zaposlitve, ki ga izplača glavni delodajalec, se za davčno leto 20</w:t>
      </w:r>
      <w:r w:rsidR="00AC6A41" w:rsidRPr="00FB5F5F">
        <w:rPr>
          <w:rFonts w:ascii="Arial" w:hAnsi="Arial" w:cs="Arial"/>
          <w:color w:val="auto"/>
          <w:sz w:val="20"/>
          <w:szCs w:val="20"/>
        </w:rPr>
        <w:t>20</w:t>
      </w:r>
      <w:r w:rsidRPr="00FB5F5F">
        <w:rPr>
          <w:rFonts w:ascii="Arial" w:hAnsi="Arial" w:cs="Arial"/>
          <w:color w:val="auto"/>
          <w:sz w:val="20"/>
          <w:szCs w:val="20"/>
        </w:rPr>
        <w:t xml:space="preserve"> uporabijo stopnje dohodnine in lestvica preračunana na 1/12 leta:</w:t>
      </w:r>
    </w:p>
    <w:p w:rsidR="00BB718F" w:rsidRPr="006A1C09" w:rsidRDefault="00BB718F" w:rsidP="00BB718F">
      <w:pPr>
        <w:pStyle w:val="Navadensplet"/>
        <w:rPr>
          <w:rFonts w:ascii="Arial" w:hAnsi="Arial" w:cs="Arial"/>
        </w:rPr>
      </w:pPr>
      <w:r w:rsidRPr="006A1C09">
        <w:rPr>
          <w:rFonts w:ascii="Arial" w:hAnsi="Arial" w:cs="Arial"/>
        </w:rPr>
        <w:t> </w:t>
      </w:r>
    </w:p>
    <w:tbl>
      <w:tblPr>
        <w:tblW w:w="863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4"/>
        <w:gridCol w:w="1769"/>
        <w:gridCol w:w="1412"/>
        <w:gridCol w:w="3404"/>
      </w:tblGrid>
      <w:tr w:rsidR="00BB718F" w:rsidRPr="006A1C09" w:rsidTr="00721F39">
        <w:trPr>
          <w:tblCellSpacing w:w="7" w:type="dxa"/>
        </w:trPr>
        <w:tc>
          <w:tcPr>
            <w:tcW w:w="21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Če znaša neto mesečna</w:t>
            </w:r>
            <w:r w:rsidRPr="006A1C09">
              <w:rPr>
                <w:rFonts w:ascii="Arial" w:hAnsi="Arial" w:cs="Arial"/>
                <w:b/>
                <w:bCs/>
                <w:color w:val="323232"/>
                <w:sz w:val="17"/>
                <w:szCs w:val="17"/>
              </w:rPr>
              <w:br/>
            </w: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davčna osnova v eurih</w:t>
            </w:r>
          </w:p>
        </w:tc>
        <w:tc>
          <w:tcPr>
            <w:tcW w:w="27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Znaša dohodnina v eurih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Nad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Do</w:t>
            </w: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</w:tr>
      <w:tr w:rsidR="00BF5211" w:rsidRPr="006A1C09" w:rsidTr="00721F39">
        <w:trPr>
          <w:trHeight w:val="86"/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708,33</w:t>
            </w: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007349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   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16 %</w:t>
            </w:r>
          </w:p>
        </w:tc>
      </w:tr>
      <w:tr w:rsidR="00BF5211" w:rsidRPr="006A1C09" w:rsidTr="00721F39">
        <w:trPr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708,33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2.083,33</w:t>
            </w: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113,33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 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+ 2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6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%  nad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708,33</w:t>
            </w:r>
          </w:p>
        </w:tc>
      </w:tr>
      <w:tr w:rsidR="00BF5211" w:rsidRPr="006A1C09" w:rsidTr="00721F39">
        <w:trPr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2.083,33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4.166,67</w:t>
            </w: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470,83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+ 3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3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%  nad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2.083,33</w:t>
            </w:r>
          </w:p>
        </w:tc>
      </w:tr>
      <w:tr w:rsidR="00BF5211" w:rsidRPr="006A1C09" w:rsidTr="00721F39">
        <w:trPr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4.166,67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6.000,00</w:t>
            </w: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1.158,33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+ 39 %  nad 4.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166,67</w:t>
            </w:r>
          </w:p>
        </w:tc>
      </w:tr>
      <w:tr w:rsidR="00BF5211" w:rsidRPr="006A1C09" w:rsidTr="00721F39">
        <w:trPr>
          <w:tblCellSpacing w:w="7" w:type="dxa"/>
        </w:trPr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6.000,00</w:t>
            </w:r>
          </w:p>
        </w:tc>
        <w:tc>
          <w:tcPr>
            <w:tcW w:w="1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5211" w:rsidRPr="00BF5211" w:rsidRDefault="00BF5211" w:rsidP="00BF521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>1.873,33</w:t>
            </w:r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5211" w:rsidRPr="006A1C09" w:rsidRDefault="00BF5211" w:rsidP="00BF521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 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 xml:space="preserve">   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+ 50 %  nad 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6.000</w:t>
            </w: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,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00</w:t>
            </w:r>
          </w:p>
        </w:tc>
      </w:tr>
    </w:tbl>
    <w:p w:rsidR="00BB718F" w:rsidRPr="006A1C09" w:rsidRDefault="00BB718F" w:rsidP="00BB718F">
      <w:pPr>
        <w:rPr>
          <w:rFonts w:ascii="Arial" w:hAnsi="Arial" w:cs="Arial"/>
        </w:rPr>
      </w:pPr>
    </w:p>
    <w:p w:rsidR="00271996" w:rsidRDefault="00271996" w:rsidP="00BB718F">
      <w:pPr>
        <w:rPr>
          <w:rFonts w:ascii="Arial" w:hAnsi="Arial" w:cs="Arial"/>
          <w:b/>
          <w:sz w:val="22"/>
          <w:szCs w:val="22"/>
        </w:rPr>
      </w:pP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  <w:r w:rsidRPr="006A1C09">
        <w:rPr>
          <w:rFonts w:ascii="Arial" w:hAnsi="Arial" w:cs="Arial"/>
          <w:b/>
          <w:sz w:val="22"/>
          <w:szCs w:val="22"/>
        </w:rPr>
        <w:t>Davčne olajšave</w:t>
      </w:r>
      <w:r w:rsidRPr="006A1C09">
        <w:rPr>
          <w:rFonts w:ascii="Arial" w:hAnsi="Arial" w:cs="Arial"/>
          <w:sz w:val="20"/>
          <w:szCs w:val="20"/>
        </w:rPr>
        <w:t>:</w:t>
      </w:r>
    </w:p>
    <w:p w:rsidR="00BB718F" w:rsidRDefault="00BB718F" w:rsidP="00BB718F">
      <w:pPr>
        <w:rPr>
          <w:rFonts w:ascii="Arial" w:hAnsi="Arial" w:cs="Arial"/>
          <w:sz w:val="20"/>
          <w:szCs w:val="20"/>
        </w:rPr>
      </w:pPr>
    </w:p>
    <w:p w:rsidR="00271996" w:rsidRPr="006A1C09" w:rsidRDefault="00271996" w:rsidP="00BB718F">
      <w:pPr>
        <w:rPr>
          <w:rFonts w:ascii="Arial" w:hAnsi="Arial" w:cs="Arial"/>
          <w:sz w:val="20"/>
          <w:szCs w:val="20"/>
        </w:rPr>
      </w:pPr>
    </w:p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>1. Splošna olajšava</w:t>
      </w: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  <w:r w:rsidRPr="006A1C09">
        <w:rPr>
          <w:rFonts w:ascii="Arial" w:hAnsi="Arial" w:cs="Arial"/>
          <w:sz w:val="20"/>
          <w:szCs w:val="20"/>
        </w:rPr>
        <w:t>Višina skupne splošne olajšave je odvisna od viši</w:t>
      </w:r>
      <w:r w:rsidR="004F3D4C">
        <w:rPr>
          <w:rFonts w:ascii="Arial" w:hAnsi="Arial" w:cs="Arial"/>
          <w:sz w:val="20"/>
          <w:szCs w:val="20"/>
        </w:rPr>
        <w:t>ne skupnega dohodka v letu 20</w:t>
      </w:r>
      <w:r w:rsidR="00BF5211">
        <w:rPr>
          <w:rFonts w:ascii="Arial" w:hAnsi="Arial" w:cs="Arial"/>
          <w:sz w:val="20"/>
          <w:szCs w:val="20"/>
        </w:rPr>
        <w:t>20</w:t>
      </w:r>
      <w:r w:rsidRPr="006A1C09">
        <w:rPr>
          <w:rFonts w:ascii="Arial" w:hAnsi="Arial" w:cs="Arial"/>
          <w:sz w:val="20"/>
          <w:szCs w:val="20"/>
        </w:rPr>
        <w:t>:</w:t>
      </w:r>
    </w:p>
    <w:p w:rsidR="00BB718F" w:rsidRPr="006A1C09" w:rsidRDefault="00BB718F" w:rsidP="00BB718F">
      <w:pPr>
        <w:rPr>
          <w:rFonts w:ascii="Arial" w:hAnsi="Arial" w:cs="Arial"/>
          <w:sz w:val="20"/>
          <w:szCs w:val="20"/>
        </w:rPr>
      </w:pPr>
    </w:p>
    <w:tbl>
      <w:tblPr>
        <w:tblW w:w="863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1986"/>
        <w:gridCol w:w="4773"/>
      </w:tblGrid>
      <w:tr w:rsidR="00BB718F" w:rsidRPr="006A1C09" w:rsidTr="00721F39">
        <w:trPr>
          <w:tblCellSpacing w:w="7" w:type="dxa"/>
        </w:trPr>
        <w:tc>
          <w:tcPr>
            <w:tcW w:w="22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Če znaša skupni dohodek v eurih</w:t>
            </w:r>
          </w:p>
        </w:tc>
        <w:tc>
          <w:tcPr>
            <w:tcW w:w="2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Znaša splošna olajšava v eurih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Nad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Do</w:t>
            </w:r>
          </w:p>
        </w:tc>
        <w:tc>
          <w:tcPr>
            <w:tcW w:w="2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E95EA4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13.316,83</w:t>
            </w:r>
          </w:p>
        </w:tc>
        <w:tc>
          <w:tcPr>
            <w:tcW w:w="2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F5211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BF5211">
              <w:rPr>
                <w:rFonts w:ascii="Arial" w:hAnsi="Arial" w:cs="Arial"/>
                <w:color w:val="323232"/>
                <w:sz w:val="17"/>
                <w:szCs w:val="17"/>
              </w:rPr>
              <w:t xml:space="preserve">   3.500,00 + (18.700,38 - 1,40427 x skupni dohodek)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E95EA4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13.316,83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2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BF521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3.</w:t>
            </w:r>
            <w:r w:rsidR="00BF5211">
              <w:rPr>
                <w:rFonts w:ascii="Arial" w:hAnsi="Arial" w:cs="Arial"/>
                <w:color w:val="323232"/>
                <w:sz w:val="17"/>
                <w:szCs w:val="17"/>
              </w:rPr>
              <w:t>500,00</w:t>
            </w:r>
          </w:p>
        </w:tc>
      </w:tr>
    </w:tbl>
    <w:p w:rsidR="00035CBE" w:rsidRDefault="00035CBE" w:rsidP="00BB718F">
      <w:pPr>
        <w:rPr>
          <w:rFonts w:ascii="Arial" w:hAnsi="Arial" w:cs="Arial"/>
          <w:sz w:val="22"/>
          <w:szCs w:val="22"/>
        </w:rPr>
      </w:pPr>
    </w:p>
    <w:p w:rsidR="00035CBE" w:rsidRPr="006A1C09" w:rsidRDefault="00035CBE" w:rsidP="00BB718F">
      <w:pPr>
        <w:rPr>
          <w:rFonts w:ascii="Arial" w:hAnsi="Arial" w:cs="Arial"/>
          <w:sz w:val="22"/>
          <w:szCs w:val="22"/>
        </w:rPr>
      </w:pPr>
    </w:p>
    <w:p w:rsidR="00BB718F" w:rsidRPr="006A1C09" w:rsidRDefault="00035CBE" w:rsidP="00BB71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 </w:t>
      </w:r>
      <w:r w:rsidR="00BB718F" w:rsidRPr="006A1C09">
        <w:rPr>
          <w:rFonts w:ascii="Arial" w:hAnsi="Arial" w:cs="Arial"/>
          <w:sz w:val="20"/>
          <w:szCs w:val="20"/>
        </w:rPr>
        <w:t>izračunu akontacije dohodnine od mesečnega dohodka iz delovnega razmerja se upošteva:</w:t>
      </w:r>
    </w:p>
    <w:p w:rsidR="00BB718F" w:rsidRPr="006A1C09" w:rsidRDefault="00BB718F" w:rsidP="00BB718F">
      <w:pPr>
        <w:rPr>
          <w:rFonts w:ascii="Arial" w:hAnsi="Arial" w:cs="Arial"/>
          <w:sz w:val="22"/>
          <w:szCs w:val="22"/>
        </w:rPr>
      </w:pPr>
    </w:p>
    <w:tbl>
      <w:tblPr>
        <w:tblW w:w="878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9"/>
        <w:gridCol w:w="1997"/>
        <w:gridCol w:w="4905"/>
      </w:tblGrid>
      <w:tr w:rsidR="00BB718F" w:rsidRPr="006A1C09" w:rsidTr="00721F39">
        <w:trPr>
          <w:tblCellSpacing w:w="7" w:type="dxa"/>
        </w:trPr>
        <w:tc>
          <w:tcPr>
            <w:tcW w:w="21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Če znaša mesečni bruto dohodek iz delovnega razmerja v eurih</w:t>
            </w:r>
          </w:p>
        </w:tc>
        <w:tc>
          <w:tcPr>
            <w:tcW w:w="2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Znaša splošna olajšava v eurih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Nad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Do</w:t>
            </w:r>
          </w:p>
        </w:tc>
        <w:tc>
          <w:tcPr>
            <w:tcW w:w="2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 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0D162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1.</w:t>
            </w:r>
            <w:r w:rsidR="000D1621" w:rsidRPr="006A1C09">
              <w:rPr>
                <w:rFonts w:ascii="Arial" w:hAnsi="Arial" w:cs="Arial"/>
                <w:color w:val="323232"/>
                <w:sz w:val="17"/>
                <w:szCs w:val="17"/>
              </w:rPr>
              <w:t>109,74</w:t>
            </w:r>
          </w:p>
        </w:tc>
        <w:tc>
          <w:tcPr>
            <w:tcW w:w="2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721F39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721F39">
              <w:rPr>
                <w:rFonts w:ascii="Arial" w:hAnsi="Arial" w:cs="Arial"/>
                <w:color w:val="323232"/>
                <w:sz w:val="17"/>
                <w:szCs w:val="17"/>
              </w:rPr>
              <w:t xml:space="preserve">   291,67 + (1</w:t>
            </w:r>
            <w:r>
              <w:rPr>
                <w:rFonts w:ascii="Arial" w:hAnsi="Arial" w:cs="Arial"/>
                <w:color w:val="323232"/>
                <w:sz w:val="17"/>
                <w:szCs w:val="17"/>
              </w:rPr>
              <w:t>.</w:t>
            </w:r>
            <w:r w:rsidRPr="00721F39">
              <w:rPr>
                <w:rFonts w:ascii="Arial" w:hAnsi="Arial" w:cs="Arial"/>
                <w:color w:val="323232"/>
                <w:sz w:val="17"/>
                <w:szCs w:val="17"/>
              </w:rPr>
              <w:t>558,37 - 1,40427 x bruto dohodek)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0D162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1.</w:t>
            </w:r>
            <w:r w:rsidR="000D1621" w:rsidRPr="006A1C09">
              <w:rPr>
                <w:rFonts w:ascii="Arial" w:hAnsi="Arial" w:cs="Arial"/>
                <w:color w:val="323232"/>
                <w:sz w:val="17"/>
                <w:szCs w:val="17"/>
              </w:rPr>
              <w:t>109,74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right"/>
              <w:rPr>
                <w:rFonts w:ascii="Arial" w:hAnsi="Arial" w:cs="Arial"/>
                <w:color w:val="323232"/>
                <w:sz w:val="17"/>
                <w:szCs w:val="17"/>
              </w:rPr>
            </w:pPr>
          </w:p>
        </w:tc>
        <w:tc>
          <w:tcPr>
            <w:tcW w:w="2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721F39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>
              <w:rPr>
                <w:rFonts w:ascii="Arial" w:hAnsi="Arial" w:cs="Arial"/>
                <w:color w:val="323232"/>
                <w:sz w:val="17"/>
                <w:szCs w:val="17"/>
              </w:rPr>
              <w:t>291,67</w:t>
            </w:r>
          </w:p>
        </w:tc>
      </w:tr>
    </w:tbl>
    <w:p w:rsidR="00BF5211" w:rsidRDefault="00BF5211" w:rsidP="00BB718F">
      <w:pPr>
        <w:rPr>
          <w:rFonts w:ascii="Arial" w:hAnsi="Arial" w:cs="Arial"/>
          <w:sz w:val="20"/>
          <w:szCs w:val="20"/>
        </w:rPr>
      </w:pPr>
    </w:p>
    <w:p w:rsidR="00BB718F" w:rsidRPr="006A1C09" w:rsidRDefault="00BB718F" w:rsidP="00721F39">
      <w:pPr>
        <w:jc w:val="both"/>
        <w:rPr>
          <w:rFonts w:ascii="Arial" w:hAnsi="Arial" w:cs="Arial"/>
          <w:sz w:val="20"/>
          <w:szCs w:val="20"/>
        </w:rPr>
      </w:pPr>
      <w:r w:rsidRPr="006A1C09">
        <w:rPr>
          <w:rFonts w:ascii="Arial" w:hAnsi="Arial" w:cs="Arial"/>
          <w:sz w:val="20"/>
          <w:szCs w:val="20"/>
        </w:rPr>
        <w:t xml:space="preserve">Če delojemalec ne želi, da se mu pri izračunu akontacije dohodnine upošteva povečana splošna olajšava </w:t>
      </w:r>
      <w:r w:rsidR="00721F39">
        <w:rPr>
          <w:rFonts w:ascii="Arial" w:hAnsi="Arial" w:cs="Arial"/>
          <w:sz w:val="20"/>
          <w:szCs w:val="20"/>
        </w:rPr>
        <w:t xml:space="preserve">(o čemer obvesti delodajalca), </w:t>
      </w:r>
      <w:r w:rsidRPr="006A1C09">
        <w:rPr>
          <w:rFonts w:ascii="Arial" w:hAnsi="Arial" w:cs="Arial"/>
          <w:sz w:val="20"/>
          <w:szCs w:val="20"/>
        </w:rPr>
        <w:t xml:space="preserve">se davčna osnova zmanjša za </w:t>
      </w:r>
      <w:r w:rsidR="00721F39">
        <w:rPr>
          <w:rFonts w:ascii="Arial" w:hAnsi="Arial" w:cs="Arial"/>
          <w:sz w:val="20"/>
          <w:szCs w:val="20"/>
        </w:rPr>
        <w:t>291,67</w:t>
      </w:r>
      <w:r w:rsidRPr="006A1C09">
        <w:rPr>
          <w:rFonts w:ascii="Arial" w:hAnsi="Arial" w:cs="Arial"/>
          <w:sz w:val="20"/>
          <w:szCs w:val="20"/>
        </w:rPr>
        <w:t xml:space="preserve"> eura.</w:t>
      </w:r>
    </w:p>
    <w:p w:rsidR="00BB718F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721F39" w:rsidRDefault="00721F39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271996" w:rsidRPr="006A1C09" w:rsidRDefault="00271996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>2. Osebne olajšave</w:t>
      </w:r>
    </w:p>
    <w:p w:rsidR="00BB718F" w:rsidRPr="006A1C09" w:rsidRDefault="00BB718F" w:rsidP="00BB718F">
      <w:pPr>
        <w:rPr>
          <w:rFonts w:ascii="Arial" w:hAnsi="Arial" w:cs="Arial"/>
          <w:b/>
          <w:sz w:val="20"/>
          <w:szCs w:val="20"/>
        </w:rPr>
      </w:pPr>
    </w:p>
    <w:tbl>
      <w:tblPr>
        <w:tblW w:w="878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8"/>
        <w:gridCol w:w="2700"/>
        <w:gridCol w:w="2813"/>
      </w:tblGrid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b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b/>
                <w:color w:val="323232"/>
                <w:sz w:val="17"/>
                <w:szCs w:val="17"/>
              </w:rPr>
              <w:t>Namen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Letna olajšava v eurih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b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b/>
                <w:color w:val="323232"/>
                <w:sz w:val="17"/>
                <w:szCs w:val="17"/>
              </w:rPr>
              <w:t>Mesečna olajšava v eurih 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invalidu s 100% telesno okvaro 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17.658,84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1.471,57</w:t>
            </w:r>
          </w:p>
        </w:tc>
      </w:tr>
    </w:tbl>
    <w:p w:rsidR="00BB718F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271996" w:rsidRDefault="00271996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721F39" w:rsidRPr="006A1C09" w:rsidRDefault="00721F39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 xml:space="preserve">3. Posebna osebna olajšava </w:t>
      </w:r>
    </w:p>
    <w:p w:rsidR="00BB718F" w:rsidRPr="006A1C09" w:rsidRDefault="00BB718F" w:rsidP="00BB718F">
      <w:pPr>
        <w:rPr>
          <w:rFonts w:ascii="Arial" w:hAnsi="Arial" w:cs="Arial"/>
          <w:b/>
          <w:sz w:val="20"/>
          <w:szCs w:val="20"/>
        </w:rPr>
      </w:pPr>
    </w:p>
    <w:p w:rsidR="00BB718F" w:rsidRPr="006A1C09" w:rsidRDefault="00007349" w:rsidP="00BB71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</w:t>
      </w:r>
      <w:r w:rsidR="00BB718F" w:rsidRPr="006A1C09">
        <w:rPr>
          <w:rFonts w:ascii="Arial" w:hAnsi="Arial" w:cs="Arial"/>
          <w:sz w:val="20"/>
          <w:szCs w:val="20"/>
        </w:rPr>
        <w:t xml:space="preserve">a rezidenta, ki se izobražuje in </w:t>
      </w:r>
      <w:r w:rsidR="00271996">
        <w:rPr>
          <w:rFonts w:ascii="Arial" w:hAnsi="Arial" w:cs="Arial"/>
          <w:sz w:val="20"/>
          <w:szCs w:val="20"/>
        </w:rPr>
        <w:t>ima status dijaka ali študenta</w:t>
      </w:r>
      <w:r>
        <w:rPr>
          <w:rFonts w:ascii="Arial" w:hAnsi="Arial" w:cs="Arial"/>
          <w:sz w:val="20"/>
          <w:szCs w:val="20"/>
        </w:rPr>
        <w:t>,</w:t>
      </w:r>
      <w:r w:rsidR="00271996">
        <w:rPr>
          <w:rFonts w:ascii="Arial" w:hAnsi="Arial" w:cs="Arial"/>
          <w:sz w:val="20"/>
          <w:szCs w:val="20"/>
        </w:rPr>
        <w:t xml:space="preserve"> </w:t>
      </w:r>
      <w:r w:rsidR="00BB718F" w:rsidRPr="006A1C09">
        <w:rPr>
          <w:rFonts w:ascii="Arial" w:hAnsi="Arial" w:cs="Arial"/>
          <w:sz w:val="20"/>
          <w:szCs w:val="20"/>
        </w:rPr>
        <w:t xml:space="preserve">znaša </w:t>
      </w:r>
      <w:r w:rsidR="0043575B" w:rsidRPr="006A1C09">
        <w:rPr>
          <w:rFonts w:ascii="Arial" w:hAnsi="Arial" w:cs="Arial"/>
          <w:sz w:val="20"/>
          <w:szCs w:val="20"/>
        </w:rPr>
        <w:t>3.</w:t>
      </w:r>
      <w:r w:rsidR="00033DA4">
        <w:rPr>
          <w:rFonts w:ascii="Arial" w:hAnsi="Arial" w:cs="Arial"/>
          <w:sz w:val="20"/>
          <w:szCs w:val="20"/>
        </w:rPr>
        <w:t>500</w:t>
      </w:r>
      <w:r w:rsidR="0043575B" w:rsidRPr="006A1C09">
        <w:rPr>
          <w:rFonts w:ascii="Arial" w:hAnsi="Arial" w:cs="Arial"/>
          <w:sz w:val="20"/>
          <w:szCs w:val="20"/>
        </w:rPr>
        <w:t>,</w:t>
      </w:r>
      <w:r w:rsidR="00033DA4">
        <w:rPr>
          <w:rFonts w:ascii="Arial" w:hAnsi="Arial" w:cs="Arial"/>
          <w:sz w:val="20"/>
          <w:szCs w:val="20"/>
        </w:rPr>
        <w:t>0</w:t>
      </w:r>
      <w:r w:rsidR="0043575B" w:rsidRPr="006A1C09">
        <w:rPr>
          <w:rFonts w:ascii="Arial" w:hAnsi="Arial" w:cs="Arial"/>
          <w:sz w:val="20"/>
          <w:szCs w:val="20"/>
        </w:rPr>
        <w:t>0</w:t>
      </w:r>
      <w:r w:rsidR="00BB718F" w:rsidRPr="006A1C09">
        <w:rPr>
          <w:rFonts w:ascii="Arial" w:hAnsi="Arial" w:cs="Arial"/>
          <w:sz w:val="20"/>
          <w:szCs w:val="20"/>
        </w:rPr>
        <w:t xml:space="preserve"> eura</w:t>
      </w:r>
      <w:r>
        <w:rPr>
          <w:rFonts w:ascii="Arial" w:hAnsi="Arial" w:cs="Arial"/>
          <w:sz w:val="20"/>
          <w:szCs w:val="20"/>
        </w:rPr>
        <w:t>.</w:t>
      </w:r>
    </w:p>
    <w:p w:rsidR="00BB718F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721F39" w:rsidRDefault="00721F39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271996" w:rsidRPr="006A1C09" w:rsidRDefault="00271996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BB718F" w:rsidRPr="006A1C09" w:rsidRDefault="00271996" w:rsidP="00BB718F">
      <w:pPr>
        <w:ind w:left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4. Posebna </w:t>
      </w:r>
      <w:r w:rsidR="00BB718F" w:rsidRPr="006A1C09">
        <w:rPr>
          <w:rFonts w:ascii="Arial" w:hAnsi="Arial" w:cs="Arial"/>
          <w:b/>
          <w:sz w:val="20"/>
          <w:szCs w:val="20"/>
        </w:rPr>
        <w:t xml:space="preserve">olajšava </w:t>
      </w:r>
    </w:p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BB718F" w:rsidRPr="006A1C09" w:rsidRDefault="00BB718F" w:rsidP="00BB718F">
      <w:pPr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>za vzdrževane otroke</w:t>
      </w:r>
    </w:p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tbl>
      <w:tblPr>
        <w:tblW w:w="878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8"/>
        <w:gridCol w:w="2700"/>
        <w:gridCol w:w="2813"/>
      </w:tblGrid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b/>
                <w:color w:val="323232"/>
                <w:sz w:val="17"/>
                <w:szCs w:val="17"/>
              </w:rPr>
            </w:pP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Letna olajšava v eurih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b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b/>
                <w:color w:val="323232"/>
                <w:sz w:val="17"/>
                <w:szCs w:val="17"/>
              </w:rPr>
              <w:t>Mesečna olajšava v eurih 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 xml:space="preserve">Za prvega vzdrževanega otroka 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2.436,92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203,08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Za vzdrževanega otroka, ki potrebuje posebno nego in varstvo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8.830,00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735,83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Za drugega vzdrževanega otroka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2.649,24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220,77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Za tretjega vzdrževanega otroka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4.418,54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368,21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Za četrtega vzdrževanega otroka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6.187,85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515,65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Za petega vzdrževanega otroka</w:t>
            </w:r>
          </w:p>
        </w:tc>
        <w:tc>
          <w:tcPr>
            <w:tcW w:w="1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7.957,14</w:t>
            </w:r>
          </w:p>
        </w:tc>
        <w:tc>
          <w:tcPr>
            <w:tcW w:w="1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663,09</w:t>
            </w:r>
          </w:p>
        </w:tc>
      </w:tr>
    </w:tbl>
    <w:p w:rsidR="00BB718F" w:rsidRPr="006A1C0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</w:p>
    <w:p w:rsidR="00BB718F" w:rsidRPr="006A1C09" w:rsidRDefault="00271996" w:rsidP="00BB71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 vse</w:t>
      </w:r>
      <w:r w:rsidR="00BB718F" w:rsidRPr="006A1C09">
        <w:rPr>
          <w:rFonts w:ascii="Arial" w:hAnsi="Arial" w:cs="Arial"/>
          <w:sz w:val="20"/>
          <w:szCs w:val="20"/>
        </w:rPr>
        <w:t xml:space="preserve"> nadaljnje vzdrževane otroke se višina olajšave poveča za 1.769,30 eura (mesečno za 147,44 eura) glede na višino olajšave za predhodnega vzdrževanega otroka.</w:t>
      </w:r>
    </w:p>
    <w:p w:rsidR="00BB718F" w:rsidRPr="006A1C09" w:rsidRDefault="00BB718F" w:rsidP="00BB718F">
      <w:pPr>
        <w:rPr>
          <w:rFonts w:ascii="Arial" w:hAnsi="Arial" w:cs="Arial"/>
          <w:b/>
          <w:sz w:val="20"/>
          <w:szCs w:val="20"/>
        </w:rPr>
      </w:pPr>
    </w:p>
    <w:p w:rsidR="00BB718F" w:rsidRPr="006A1C09" w:rsidRDefault="00BB718F" w:rsidP="00BB718F">
      <w:pPr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>za vsakega drugega vzdrževanega družinskega člana</w:t>
      </w:r>
    </w:p>
    <w:p w:rsidR="00BB718F" w:rsidRPr="006A1C09" w:rsidRDefault="00BB718F" w:rsidP="00BB718F">
      <w:pPr>
        <w:rPr>
          <w:rFonts w:ascii="Arial" w:hAnsi="Arial" w:cs="Arial"/>
          <w:b/>
          <w:sz w:val="20"/>
          <w:szCs w:val="20"/>
        </w:rPr>
      </w:pPr>
    </w:p>
    <w:tbl>
      <w:tblPr>
        <w:tblW w:w="878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0"/>
        <w:gridCol w:w="4551"/>
      </w:tblGrid>
      <w:tr w:rsidR="00BB718F" w:rsidRPr="006A1C09" w:rsidTr="00721F39">
        <w:trPr>
          <w:tblCellSpacing w:w="7" w:type="dxa"/>
        </w:trPr>
        <w:tc>
          <w:tcPr>
            <w:tcW w:w="2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Style w:val="Krepko"/>
                <w:rFonts w:ascii="Arial" w:hAnsi="Arial" w:cs="Arial"/>
                <w:color w:val="323232"/>
                <w:sz w:val="17"/>
                <w:szCs w:val="17"/>
              </w:rPr>
              <w:t>Letna olajšava v eurih</w:t>
            </w:r>
          </w:p>
        </w:tc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b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b/>
                <w:color w:val="323232"/>
                <w:sz w:val="17"/>
                <w:szCs w:val="17"/>
              </w:rPr>
              <w:t>Mesečna olajšava v eurih </w:t>
            </w:r>
          </w:p>
        </w:tc>
      </w:tr>
      <w:tr w:rsidR="00BB718F" w:rsidRPr="006A1C09" w:rsidTr="00721F39">
        <w:trPr>
          <w:tblCellSpacing w:w="7" w:type="dxa"/>
        </w:trPr>
        <w:tc>
          <w:tcPr>
            <w:tcW w:w="2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2.436,92</w:t>
            </w:r>
          </w:p>
        </w:tc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718F" w:rsidRPr="006A1C09" w:rsidRDefault="00BB718F" w:rsidP="00AC6A41">
            <w:pPr>
              <w:jc w:val="center"/>
              <w:rPr>
                <w:rFonts w:ascii="Arial" w:hAnsi="Arial" w:cs="Arial"/>
                <w:color w:val="323232"/>
                <w:sz w:val="17"/>
                <w:szCs w:val="17"/>
              </w:rPr>
            </w:pPr>
            <w:r w:rsidRPr="006A1C09">
              <w:rPr>
                <w:rFonts w:ascii="Arial" w:hAnsi="Arial" w:cs="Arial"/>
                <w:color w:val="323232"/>
                <w:sz w:val="17"/>
                <w:szCs w:val="17"/>
              </w:rPr>
              <w:t>203,08</w:t>
            </w:r>
          </w:p>
        </w:tc>
      </w:tr>
    </w:tbl>
    <w:p w:rsidR="00BB718F" w:rsidRDefault="00BB718F" w:rsidP="00BB718F">
      <w:pPr>
        <w:rPr>
          <w:rFonts w:ascii="Arial" w:hAnsi="Arial" w:cs="Arial"/>
          <w:b/>
          <w:sz w:val="20"/>
          <w:szCs w:val="20"/>
        </w:rPr>
      </w:pPr>
    </w:p>
    <w:p w:rsidR="00721F39" w:rsidRDefault="00721F39" w:rsidP="00BB718F">
      <w:pPr>
        <w:rPr>
          <w:rFonts w:ascii="Arial" w:hAnsi="Arial" w:cs="Arial"/>
          <w:b/>
          <w:sz w:val="20"/>
          <w:szCs w:val="20"/>
        </w:rPr>
      </w:pPr>
    </w:p>
    <w:p w:rsidR="00271996" w:rsidRPr="006A1C09" w:rsidRDefault="00271996" w:rsidP="00BB718F">
      <w:pPr>
        <w:rPr>
          <w:rFonts w:ascii="Arial" w:hAnsi="Arial" w:cs="Arial"/>
          <w:b/>
          <w:sz w:val="20"/>
          <w:szCs w:val="20"/>
        </w:rPr>
      </w:pPr>
    </w:p>
    <w:p w:rsidR="00721F39" w:rsidRDefault="00BB718F" w:rsidP="00BB718F">
      <w:pPr>
        <w:ind w:left="708"/>
        <w:rPr>
          <w:rFonts w:ascii="Arial" w:hAnsi="Arial" w:cs="Arial"/>
          <w:b/>
          <w:sz w:val="20"/>
          <w:szCs w:val="20"/>
        </w:rPr>
      </w:pPr>
      <w:r w:rsidRPr="006A1C09">
        <w:rPr>
          <w:rFonts w:ascii="Arial" w:hAnsi="Arial" w:cs="Arial"/>
          <w:b/>
          <w:sz w:val="20"/>
          <w:szCs w:val="20"/>
        </w:rPr>
        <w:t xml:space="preserve">5. Olajšava za prostovoljno dodatno pokojninsko zavarovanje </w:t>
      </w:r>
    </w:p>
    <w:p w:rsidR="00007349" w:rsidRDefault="00007349" w:rsidP="00305CDB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B718F" w:rsidRPr="006A1C09" w:rsidRDefault="000E6C05" w:rsidP="000073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033DA4">
        <w:rPr>
          <w:rFonts w:ascii="Arial" w:hAnsi="Arial" w:cs="Arial"/>
          <w:sz w:val="20"/>
          <w:szCs w:val="20"/>
        </w:rPr>
        <w:t>ajveč d</w:t>
      </w:r>
      <w:r w:rsidR="00BB718F" w:rsidRPr="006A1C09">
        <w:rPr>
          <w:rFonts w:ascii="Arial" w:hAnsi="Arial" w:cs="Arial"/>
          <w:sz w:val="20"/>
          <w:szCs w:val="20"/>
        </w:rPr>
        <w:t xml:space="preserve">o </w:t>
      </w:r>
      <w:r w:rsidR="00305CDB">
        <w:rPr>
          <w:rFonts w:ascii="Arial" w:hAnsi="Arial" w:cs="Arial"/>
          <w:sz w:val="20"/>
          <w:szCs w:val="20"/>
        </w:rPr>
        <w:t>zneska</w:t>
      </w:r>
      <w:r>
        <w:rPr>
          <w:rFonts w:ascii="Arial" w:hAnsi="Arial" w:cs="Arial"/>
          <w:sz w:val="20"/>
          <w:szCs w:val="20"/>
        </w:rPr>
        <w:t xml:space="preserve"> premije</w:t>
      </w:r>
      <w:r w:rsidR="00305CDB">
        <w:rPr>
          <w:rFonts w:ascii="Arial" w:hAnsi="Arial" w:cs="Arial"/>
          <w:sz w:val="20"/>
          <w:szCs w:val="20"/>
        </w:rPr>
        <w:t xml:space="preserve">, ki je enak 24 % obveznih prispevkov za pokojninsko in invalidsko zavarovanje za zavarovanca oziroma 5,844 % pokojnine zavarovanca in ne več kot </w:t>
      </w:r>
      <w:r w:rsidR="00BB718F" w:rsidRPr="006A1C09">
        <w:rPr>
          <w:rFonts w:ascii="Arial" w:hAnsi="Arial" w:cs="Arial"/>
          <w:sz w:val="20"/>
          <w:szCs w:val="20"/>
        </w:rPr>
        <w:t>2.819,09 eurov letno.</w:t>
      </w:r>
    </w:p>
    <w:p w:rsidR="00BB718F" w:rsidRPr="006A1C09" w:rsidRDefault="00BB718F" w:rsidP="00BB718F">
      <w:pPr>
        <w:ind w:left="708"/>
        <w:rPr>
          <w:rFonts w:ascii="Arial" w:hAnsi="Arial" w:cs="Arial"/>
          <w:sz w:val="20"/>
          <w:szCs w:val="20"/>
        </w:rPr>
      </w:pPr>
    </w:p>
    <w:p w:rsidR="007D75CF" w:rsidRPr="006A1C09" w:rsidRDefault="007D75CF" w:rsidP="003E1C74">
      <w:pPr>
        <w:pStyle w:val="podpisi"/>
        <w:rPr>
          <w:rFonts w:ascii="Arial" w:hAnsi="Arial" w:cs="Arial"/>
          <w:lang w:val="sl-SI"/>
        </w:rPr>
      </w:pPr>
    </w:p>
    <w:sectPr w:rsidR="007D75CF" w:rsidRPr="006A1C09" w:rsidSect="00783310">
      <w:headerReference w:type="default" r:id="rId8"/>
      <w:footerReference w:type="default" r:id="rId9"/>
      <w:headerReference w:type="first" r:id="rId10"/>
      <w:footerReference w:type="first" r:id="rId11"/>
      <w:pgSz w:w="11900" w:h="16840" w:code="9"/>
      <w:pgMar w:top="1701" w:right="1701" w:bottom="1134" w:left="1701" w:header="964" w:footer="79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3E" w:rsidRDefault="00C4173E">
      <w:r>
        <w:separator/>
      </w:r>
    </w:p>
  </w:endnote>
  <w:endnote w:type="continuationSeparator" w:id="0">
    <w:p w:rsidR="00C4173E" w:rsidRDefault="00C4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epublika">
    <w:panose1 w:val="02000506040000020004"/>
    <w:charset w:val="EE"/>
    <w:family w:val="auto"/>
    <w:pitch w:val="variable"/>
    <w:sig w:usb0="A00000FF" w:usb1="4000205B" w:usb2="00000000" w:usb3="00000000" w:csb0="00000093" w:csb1="00000000"/>
  </w:font>
  <w:font w:name="Republika Bold">
    <w:altName w:val="Courier New"/>
    <w:panose1 w:val="020008060300000200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F5F" w:rsidRDefault="00FB5F5F" w:rsidP="00751D38">
    <w:pPr>
      <w:pStyle w:val="Noga"/>
      <w:jc w:val="right"/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DE7752">
      <w:rPr>
        <w:rFonts w:cs="Arial"/>
        <w:noProof/>
        <w:sz w:val="16"/>
      </w:rPr>
      <w:t>2</w:t>
    </w:r>
    <w:r>
      <w:rPr>
        <w:rFonts w:cs="Arial"/>
        <w:sz w:val="16"/>
      </w:rPr>
      <w:fldChar w:fldCharType="end"/>
    </w:r>
    <w:r>
      <w:rPr>
        <w:rFonts w:cs="Arial"/>
        <w:sz w:val="16"/>
      </w:rPr>
      <w:t>/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DE7752">
      <w:rPr>
        <w:rFonts w:cs="Arial"/>
        <w:noProof/>
        <w:sz w:val="16"/>
      </w:rPr>
      <w:t>2</w:t>
    </w:r>
    <w:r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F5F" w:rsidRDefault="00FB5F5F" w:rsidP="00751D38">
    <w:pPr>
      <w:pStyle w:val="Noga"/>
      <w:jc w:val="right"/>
    </w:pPr>
    <w:r w:rsidRPr="006F142E">
      <w:rPr>
        <w:rFonts w:cs="Arial"/>
        <w:sz w:val="16"/>
      </w:rPr>
      <w:fldChar w:fldCharType="begin"/>
    </w:r>
    <w:r w:rsidRPr="006F142E">
      <w:rPr>
        <w:rFonts w:cs="Arial"/>
        <w:sz w:val="16"/>
      </w:rPr>
      <w:instrText xml:space="preserve"> PAGE </w:instrText>
    </w:r>
    <w:r w:rsidRPr="006F142E">
      <w:rPr>
        <w:rFonts w:cs="Arial"/>
        <w:sz w:val="16"/>
      </w:rPr>
      <w:fldChar w:fldCharType="separate"/>
    </w:r>
    <w:r w:rsidR="00DE7752">
      <w:rPr>
        <w:rFonts w:cs="Arial"/>
        <w:noProof/>
        <w:sz w:val="16"/>
      </w:rPr>
      <w:t>1</w:t>
    </w:r>
    <w:r w:rsidRPr="006F142E">
      <w:rPr>
        <w:rFonts w:cs="Arial"/>
        <w:sz w:val="16"/>
      </w:rPr>
      <w:fldChar w:fldCharType="end"/>
    </w:r>
    <w:r w:rsidRPr="006F142E">
      <w:rPr>
        <w:rFonts w:cs="Arial"/>
        <w:sz w:val="16"/>
      </w:rPr>
      <w:t>/</w:t>
    </w:r>
    <w:r w:rsidRPr="006F142E">
      <w:rPr>
        <w:rFonts w:cs="Arial"/>
        <w:sz w:val="16"/>
      </w:rPr>
      <w:fldChar w:fldCharType="begin"/>
    </w:r>
    <w:r w:rsidRPr="006F142E">
      <w:rPr>
        <w:rFonts w:cs="Arial"/>
        <w:sz w:val="16"/>
      </w:rPr>
      <w:instrText xml:space="preserve"> NUMPAGES </w:instrText>
    </w:r>
    <w:r w:rsidRPr="006F142E">
      <w:rPr>
        <w:rFonts w:cs="Arial"/>
        <w:sz w:val="16"/>
      </w:rPr>
      <w:fldChar w:fldCharType="separate"/>
    </w:r>
    <w:r w:rsidR="00DE7752">
      <w:rPr>
        <w:rFonts w:cs="Arial"/>
        <w:noProof/>
        <w:sz w:val="16"/>
      </w:rPr>
      <w:t>2</w:t>
    </w:r>
    <w:r w:rsidRPr="006F142E"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3E" w:rsidRDefault="00C4173E">
      <w:r>
        <w:separator/>
      </w:r>
    </w:p>
  </w:footnote>
  <w:footnote w:type="continuationSeparator" w:id="0">
    <w:p w:rsidR="00C4173E" w:rsidRDefault="00C41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F5F" w:rsidRPr="00110CBD" w:rsidRDefault="00FB5F5F" w:rsidP="007D75CF">
    <w:pPr>
      <w:pStyle w:val="Glava"/>
      <w:spacing w:line="240" w:lineRule="exact"/>
      <w:rPr>
        <w:rFonts w:ascii="Republika" w:hAnsi="Republika"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bottomFromText="6005" w:vertAnchor="page" w:horzAnchor="page" w:tblpX="925" w:tblpY="869"/>
      <w:tblW w:w="0" w:type="auto"/>
      <w:tblLook w:val="04A0" w:firstRow="1" w:lastRow="0" w:firstColumn="1" w:lastColumn="0" w:noHBand="0" w:noVBand="1"/>
    </w:tblPr>
    <w:tblGrid>
      <w:gridCol w:w="649"/>
    </w:tblGrid>
    <w:tr w:rsidR="00FB5F5F" w:rsidRPr="008F3500">
      <w:trPr>
        <w:cantSplit/>
        <w:trHeight w:hRule="exact" w:val="847"/>
      </w:trPr>
      <w:tc>
        <w:tcPr>
          <w:tcW w:w="567" w:type="dxa"/>
        </w:tcPr>
        <w:p w:rsidR="00FB5F5F" w:rsidRDefault="00FB5F5F" w:rsidP="00D248DE">
          <w:pPr>
            <w:autoSpaceDE w:val="0"/>
            <w:autoSpaceDN w:val="0"/>
            <w:adjustRightInd w:val="0"/>
            <w:rPr>
              <w:rFonts w:ascii="Republika" w:hAnsi="Republika"/>
              <w:color w:val="529DBA"/>
              <w:sz w:val="60"/>
              <w:szCs w:val="60"/>
            </w:rPr>
          </w:pPr>
          <w:r w:rsidRPr="008F3500">
            <w:rPr>
              <w:rFonts w:ascii="Republika" w:hAnsi="Republika" w:cs="Republika"/>
              <w:color w:val="529DBA"/>
              <w:sz w:val="60"/>
              <w:szCs w:val="60"/>
            </w:rPr>
            <w:t></w:t>
          </w: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  <w:p w:rsidR="00FB5F5F" w:rsidRPr="006D42D9" w:rsidRDefault="00FB5F5F" w:rsidP="006D42D9">
          <w:pPr>
            <w:rPr>
              <w:rFonts w:ascii="Republika" w:hAnsi="Republika"/>
              <w:sz w:val="60"/>
              <w:szCs w:val="60"/>
            </w:rPr>
          </w:pPr>
        </w:p>
      </w:tc>
    </w:tr>
  </w:tbl>
  <w:p w:rsidR="00FB5F5F" w:rsidRPr="008F3500" w:rsidRDefault="00FB5F5F" w:rsidP="00924E3C">
    <w:pPr>
      <w:autoSpaceDE w:val="0"/>
      <w:autoSpaceDN w:val="0"/>
      <w:adjustRightInd w:val="0"/>
      <w:rPr>
        <w:rFonts w:ascii="Republika" w:hAnsi="Republika"/>
      </w:rPr>
    </w:pPr>
    <w:r>
      <w:rPr>
        <w:noProof/>
        <w:szCs w:val="20"/>
        <w:lang w:bidi="or-IN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column">
                <wp:posOffset>-431800</wp:posOffset>
              </wp:positionH>
              <wp:positionV relativeFrom="page">
                <wp:posOffset>3600450</wp:posOffset>
              </wp:positionV>
              <wp:extent cx="252095" cy="0"/>
              <wp:effectExtent l="6350" t="9525" r="8255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282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ED91F"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4pt,283.5pt" to="-14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" o:allowincell="f" strokecolor="#428299" strokeweight=".5pt">
              <w10:wrap anchory="page"/>
            </v:line>
          </w:pict>
        </mc:Fallback>
      </mc:AlternateContent>
    </w:r>
    <w:r w:rsidRPr="008F3500">
      <w:rPr>
        <w:rFonts w:ascii="Republika" w:hAnsi="Republika"/>
      </w:rPr>
      <w:t>REPUBLIKA SLOVENIJA</w:t>
    </w:r>
  </w:p>
  <w:p w:rsidR="00FB5F5F" w:rsidRPr="008F3500" w:rsidRDefault="00FB5F5F" w:rsidP="00924E3C">
    <w:pPr>
      <w:pStyle w:val="Glava"/>
      <w:tabs>
        <w:tab w:val="clear" w:pos="4320"/>
        <w:tab w:val="clear" w:pos="8640"/>
        <w:tab w:val="left" w:pos="5112"/>
      </w:tabs>
      <w:spacing w:after="120" w:line="240" w:lineRule="exact"/>
      <w:rPr>
        <w:rFonts w:ascii="Republika Bold" w:hAnsi="Republika Bold"/>
        <w:b/>
        <w:caps/>
      </w:rPr>
    </w:pPr>
    <w:r>
      <w:rPr>
        <w:rFonts w:ascii="Republika Bold" w:hAnsi="Republika Bold"/>
        <w:b/>
        <w:caps/>
      </w:rPr>
      <w:t>Ministrstvo za finance</w:t>
    </w:r>
  </w:p>
  <w:p w:rsidR="00FB5F5F" w:rsidRDefault="00FB5F5F" w:rsidP="00ED7E82">
    <w:pPr>
      <w:pStyle w:val="Glava"/>
      <w:tabs>
        <w:tab w:val="clear" w:pos="4320"/>
        <w:tab w:val="clear" w:pos="8640"/>
        <w:tab w:val="left" w:pos="5112"/>
      </w:tabs>
      <w:spacing w:before="120" w:after="120" w:line="240" w:lineRule="exact"/>
      <w:rPr>
        <w:rFonts w:ascii="Republika" w:hAnsi="Republika"/>
        <w:caps/>
      </w:rPr>
    </w:pPr>
    <w:r>
      <w:rPr>
        <w:rFonts w:ascii="Republika" w:hAnsi="Republika"/>
        <w:caps/>
      </w:rPr>
      <w:t>FINANČNA uprava Republike Slovenije</w:t>
    </w:r>
  </w:p>
  <w:p w:rsidR="00FB5F5F" w:rsidRPr="00A12D5C" w:rsidRDefault="00FB5F5F" w:rsidP="00ED7E82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ascii="Republika" w:hAnsi="Republika"/>
        <w:caps/>
      </w:rPr>
    </w:pPr>
    <w:r>
      <w:rPr>
        <w:rFonts w:ascii="Republika" w:hAnsi="Republika"/>
      </w:rPr>
      <w:t>Generalni finančni urad</w:t>
    </w:r>
  </w:p>
  <w:p w:rsidR="00FB5F5F" w:rsidRPr="008F3500" w:rsidRDefault="00FB5F5F" w:rsidP="00ED7E82">
    <w:pPr>
      <w:pStyle w:val="Glava"/>
      <w:tabs>
        <w:tab w:val="clear" w:pos="4320"/>
        <w:tab w:val="clear" w:pos="8640"/>
        <w:tab w:val="left" w:pos="5112"/>
      </w:tabs>
      <w:spacing w:before="240" w:line="240" w:lineRule="exact"/>
      <w:rPr>
        <w:rFonts w:cs="Arial"/>
        <w:sz w:val="16"/>
      </w:rPr>
    </w:pPr>
    <w:r>
      <w:rPr>
        <w:rFonts w:cs="Arial"/>
        <w:sz w:val="16"/>
      </w:rPr>
      <w:t xml:space="preserve">Šmartinska cesta 55, </w:t>
    </w:r>
    <w:proofErr w:type="spellStart"/>
    <w:r>
      <w:rPr>
        <w:rFonts w:cs="Arial"/>
        <w:sz w:val="16"/>
      </w:rPr>
      <w:t>p.p</w:t>
    </w:r>
    <w:proofErr w:type="spellEnd"/>
    <w:r>
      <w:rPr>
        <w:rFonts w:cs="Arial"/>
        <w:sz w:val="16"/>
      </w:rPr>
      <w:t>. 631</w:t>
    </w:r>
    <w:r w:rsidRPr="008F3500">
      <w:rPr>
        <w:rFonts w:cs="Arial"/>
        <w:sz w:val="16"/>
      </w:rPr>
      <w:t xml:space="preserve">, </w:t>
    </w:r>
    <w:r>
      <w:rPr>
        <w:rFonts w:cs="Arial"/>
        <w:sz w:val="16"/>
      </w:rPr>
      <w:t>1001 Ljubljana</w:t>
    </w:r>
    <w:r w:rsidRPr="008F3500">
      <w:rPr>
        <w:rFonts w:cs="Arial"/>
        <w:sz w:val="16"/>
      </w:rPr>
      <w:tab/>
      <w:t xml:space="preserve">T: </w:t>
    </w:r>
    <w:r>
      <w:rPr>
        <w:rFonts w:cs="Arial"/>
        <w:sz w:val="16"/>
      </w:rPr>
      <w:t>01 478 38 00</w:t>
    </w:r>
  </w:p>
  <w:p w:rsidR="00FB5F5F" w:rsidRPr="008F3500" w:rsidRDefault="00FB5F5F" w:rsidP="00924E3C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</w:rPr>
    </w:pPr>
    <w:r w:rsidRPr="008F3500">
      <w:rPr>
        <w:rFonts w:cs="Arial"/>
        <w:sz w:val="16"/>
      </w:rPr>
      <w:tab/>
      <w:t xml:space="preserve">F: </w:t>
    </w:r>
    <w:r>
      <w:rPr>
        <w:rFonts w:cs="Arial"/>
        <w:sz w:val="16"/>
      </w:rPr>
      <w:t>01 478 39 00</w:t>
    </w:r>
    <w:r w:rsidRPr="008F3500">
      <w:rPr>
        <w:rFonts w:cs="Arial"/>
        <w:sz w:val="16"/>
      </w:rPr>
      <w:t xml:space="preserve"> </w:t>
    </w:r>
  </w:p>
  <w:p w:rsidR="00FB5F5F" w:rsidRPr="008F3500" w:rsidRDefault="00FB5F5F" w:rsidP="007D75CF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</w:rPr>
    </w:pPr>
    <w:r w:rsidRPr="008F3500">
      <w:rPr>
        <w:rFonts w:cs="Arial"/>
        <w:sz w:val="16"/>
      </w:rPr>
      <w:tab/>
      <w:t xml:space="preserve">E: </w:t>
    </w:r>
    <w:r>
      <w:rPr>
        <w:rFonts w:cs="Arial"/>
        <w:sz w:val="16"/>
      </w:rPr>
      <w:t>gfu.fu@gov.si</w:t>
    </w:r>
  </w:p>
  <w:p w:rsidR="00FB5F5F" w:rsidRPr="008F3500" w:rsidRDefault="00FB5F5F" w:rsidP="007D75CF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</w:rPr>
    </w:pPr>
    <w:r w:rsidRPr="008F3500">
      <w:rPr>
        <w:rFonts w:cs="Arial"/>
        <w:sz w:val="16"/>
      </w:rPr>
      <w:tab/>
    </w:r>
    <w:r>
      <w:rPr>
        <w:rFonts w:cs="Arial"/>
        <w:sz w:val="16"/>
      </w:rPr>
      <w:t>www.fu.gov.si</w:t>
    </w:r>
  </w:p>
  <w:p w:rsidR="00FB5F5F" w:rsidRPr="008F3500" w:rsidRDefault="00FB5F5F" w:rsidP="007D75CF">
    <w:pPr>
      <w:pStyle w:val="Glava"/>
      <w:tabs>
        <w:tab w:val="clear" w:pos="4320"/>
        <w:tab w:val="clear" w:pos="8640"/>
        <w:tab w:val="left" w:pos="51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CD1"/>
    <w:multiLevelType w:val="hybridMultilevel"/>
    <w:tmpl w:val="2D24329E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85C12"/>
    <w:multiLevelType w:val="hybridMultilevel"/>
    <w:tmpl w:val="BF06C40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72372"/>
    <w:multiLevelType w:val="hybridMultilevel"/>
    <w:tmpl w:val="94FE814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546F6"/>
    <w:multiLevelType w:val="hybridMultilevel"/>
    <w:tmpl w:val="2B282360"/>
    <w:lvl w:ilvl="0" w:tplc="0424000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42D53A9B"/>
    <w:multiLevelType w:val="multilevel"/>
    <w:tmpl w:val="C3B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AA4C44"/>
    <w:multiLevelType w:val="hybridMultilevel"/>
    <w:tmpl w:val="092E92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284"/>
  <w:drawingGridVerticalSpacing w:val="284"/>
  <w:displayHorizontalDrawingGridEvery w:val="2"/>
  <w:displayVerticalDrawingGridEvery w:val="2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>
      <o:colormru v:ext="edit" colors="#4282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8F"/>
    <w:rsid w:val="000063FF"/>
    <w:rsid w:val="00007349"/>
    <w:rsid w:val="00023A88"/>
    <w:rsid w:val="00032485"/>
    <w:rsid w:val="00033DA4"/>
    <w:rsid w:val="00035CBE"/>
    <w:rsid w:val="0005549D"/>
    <w:rsid w:val="0008352D"/>
    <w:rsid w:val="00087C21"/>
    <w:rsid w:val="000A7238"/>
    <w:rsid w:val="000B0B21"/>
    <w:rsid w:val="000D1621"/>
    <w:rsid w:val="000E6C05"/>
    <w:rsid w:val="001357B2"/>
    <w:rsid w:val="001A3BA5"/>
    <w:rsid w:val="001F7BC0"/>
    <w:rsid w:val="00202A77"/>
    <w:rsid w:val="00206DF8"/>
    <w:rsid w:val="00255752"/>
    <w:rsid w:val="00271996"/>
    <w:rsid w:val="00271CE5"/>
    <w:rsid w:val="00282020"/>
    <w:rsid w:val="00282F1E"/>
    <w:rsid w:val="002A5510"/>
    <w:rsid w:val="00305CDB"/>
    <w:rsid w:val="003636BF"/>
    <w:rsid w:val="00370AA7"/>
    <w:rsid w:val="0037479F"/>
    <w:rsid w:val="003845B4"/>
    <w:rsid w:val="00387B1A"/>
    <w:rsid w:val="003E1C74"/>
    <w:rsid w:val="0043575B"/>
    <w:rsid w:val="00452C81"/>
    <w:rsid w:val="004E1975"/>
    <w:rsid w:val="004F3D4C"/>
    <w:rsid w:val="00526246"/>
    <w:rsid w:val="00531822"/>
    <w:rsid w:val="00567106"/>
    <w:rsid w:val="005E1D3C"/>
    <w:rsid w:val="00632253"/>
    <w:rsid w:val="00642714"/>
    <w:rsid w:val="00643C4E"/>
    <w:rsid w:val="006455CE"/>
    <w:rsid w:val="006564A5"/>
    <w:rsid w:val="006A1C09"/>
    <w:rsid w:val="006D42D9"/>
    <w:rsid w:val="006F5E44"/>
    <w:rsid w:val="0070712A"/>
    <w:rsid w:val="00721F39"/>
    <w:rsid w:val="00726463"/>
    <w:rsid w:val="00733017"/>
    <w:rsid w:val="00751D38"/>
    <w:rsid w:val="00783310"/>
    <w:rsid w:val="007A4A6D"/>
    <w:rsid w:val="007D1BCF"/>
    <w:rsid w:val="007D46CE"/>
    <w:rsid w:val="007D75CF"/>
    <w:rsid w:val="007E6DC5"/>
    <w:rsid w:val="0088043C"/>
    <w:rsid w:val="008906C9"/>
    <w:rsid w:val="008C5738"/>
    <w:rsid w:val="008D04F0"/>
    <w:rsid w:val="008F3500"/>
    <w:rsid w:val="00912B30"/>
    <w:rsid w:val="00917149"/>
    <w:rsid w:val="00924E3C"/>
    <w:rsid w:val="009612BB"/>
    <w:rsid w:val="00A125C5"/>
    <w:rsid w:val="00A12D5C"/>
    <w:rsid w:val="00A33370"/>
    <w:rsid w:val="00A5039D"/>
    <w:rsid w:val="00A65EE7"/>
    <w:rsid w:val="00A70133"/>
    <w:rsid w:val="00AC5C16"/>
    <w:rsid w:val="00AC6A41"/>
    <w:rsid w:val="00B17141"/>
    <w:rsid w:val="00B17E88"/>
    <w:rsid w:val="00B31575"/>
    <w:rsid w:val="00B8547D"/>
    <w:rsid w:val="00BB718F"/>
    <w:rsid w:val="00BF5211"/>
    <w:rsid w:val="00C250D5"/>
    <w:rsid w:val="00C4173E"/>
    <w:rsid w:val="00C47F8D"/>
    <w:rsid w:val="00C81391"/>
    <w:rsid w:val="00C92898"/>
    <w:rsid w:val="00CE7514"/>
    <w:rsid w:val="00D248DE"/>
    <w:rsid w:val="00D8542D"/>
    <w:rsid w:val="00DC6A71"/>
    <w:rsid w:val="00DE0409"/>
    <w:rsid w:val="00DE5B46"/>
    <w:rsid w:val="00DE7752"/>
    <w:rsid w:val="00DF0951"/>
    <w:rsid w:val="00E0357D"/>
    <w:rsid w:val="00E14179"/>
    <w:rsid w:val="00E24EC2"/>
    <w:rsid w:val="00E25B8C"/>
    <w:rsid w:val="00E26FD2"/>
    <w:rsid w:val="00E57509"/>
    <w:rsid w:val="00E95EA4"/>
    <w:rsid w:val="00ED7E82"/>
    <w:rsid w:val="00F22D70"/>
    <w:rsid w:val="00F240BB"/>
    <w:rsid w:val="00F46724"/>
    <w:rsid w:val="00F57FED"/>
    <w:rsid w:val="00F907E8"/>
    <w:rsid w:val="00FA6827"/>
    <w:rsid w:val="00FB5F5F"/>
    <w:rsid w:val="00FD7B33"/>
    <w:rsid w:val="00FE7FD7"/>
    <w:rsid w:val="00FF00BF"/>
    <w:rsid w:val="00FF484E"/>
    <w:rsid w:val="00FF68BC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428299"/>
    </o:shapedefaults>
    <o:shapelayout v:ext="edit">
      <o:idmap v:ext="edit" data="1"/>
    </o:shapelayout>
  </w:shapeDefaults>
  <w:doNotEmbedSmartTags/>
  <w:decimalSymbol w:val=","/>
  <w:listSeparator w:val=";"/>
  <w15:docId w15:val="{69347F81-3805-4DAB-B052-53D90AD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B718F"/>
    <w:rPr>
      <w:sz w:val="24"/>
      <w:szCs w:val="24"/>
    </w:rPr>
  </w:style>
  <w:style w:type="paragraph" w:styleId="Naslov1">
    <w:name w:val="heading 1"/>
    <w:aliases w:val="NASLOV"/>
    <w:basedOn w:val="Navaden"/>
    <w:next w:val="Navaden"/>
    <w:autoRedefine/>
    <w:qFormat/>
    <w:rsid w:val="003F0585"/>
    <w:pPr>
      <w:keepNext/>
      <w:spacing w:before="240" w:after="60"/>
      <w:outlineLvl w:val="0"/>
    </w:pPr>
    <w:rPr>
      <w:rFonts w:ascii="Arial" w:hAnsi="Arial"/>
      <w:b/>
      <w:kern w:val="32"/>
      <w:sz w:val="28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rsid w:val="00AD2B87"/>
    <w:pPr>
      <w:tabs>
        <w:tab w:val="center" w:pos="4320"/>
        <w:tab w:val="right" w:pos="8640"/>
      </w:tabs>
    </w:pPr>
  </w:style>
  <w:style w:type="paragraph" w:styleId="Noga">
    <w:name w:val="footer"/>
    <w:basedOn w:val="Navaden"/>
    <w:semiHidden/>
    <w:rsid w:val="00AD2B87"/>
    <w:pPr>
      <w:tabs>
        <w:tab w:val="center" w:pos="4320"/>
        <w:tab w:val="right" w:pos="8640"/>
      </w:tabs>
    </w:pPr>
  </w:style>
  <w:style w:type="paragraph" w:styleId="Zgradbadokumenta">
    <w:name w:val="Document Map"/>
    <w:basedOn w:val="Navaden"/>
    <w:link w:val="ZgradbadokumentaZnak"/>
    <w:rsid w:val="00B31575"/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rsid w:val="00B31575"/>
    <w:rPr>
      <w:rFonts w:ascii="Tahoma" w:hAnsi="Tahoma" w:cs="Tahoma"/>
      <w:sz w:val="16"/>
      <w:szCs w:val="16"/>
      <w:lang w:val="en-US" w:eastAsia="en-US"/>
    </w:rPr>
  </w:style>
  <w:style w:type="table" w:customStyle="1" w:styleId="Tabela-mrea">
    <w:name w:val="Tabela - mreža"/>
    <w:basedOn w:val="Navadnatabela"/>
    <w:rsid w:val="007330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tumtevilka">
    <w:name w:val="datum številka"/>
    <w:basedOn w:val="Navaden"/>
    <w:qFormat/>
    <w:rsid w:val="00DC6A71"/>
    <w:pPr>
      <w:tabs>
        <w:tab w:val="left" w:pos="1701"/>
      </w:tabs>
    </w:pPr>
    <w:rPr>
      <w:szCs w:val="20"/>
    </w:rPr>
  </w:style>
  <w:style w:type="paragraph" w:customStyle="1" w:styleId="ZADEVA">
    <w:name w:val="ZADEVA"/>
    <w:basedOn w:val="Navaden"/>
    <w:qFormat/>
    <w:rsid w:val="00DC6A71"/>
    <w:pPr>
      <w:tabs>
        <w:tab w:val="left" w:pos="1701"/>
      </w:tabs>
      <w:ind w:left="1701" w:hanging="1701"/>
    </w:pPr>
    <w:rPr>
      <w:b/>
      <w:lang w:val="it-IT"/>
    </w:rPr>
  </w:style>
  <w:style w:type="character" w:styleId="Hiperpovezava">
    <w:name w:val="Hyperlink"/>
    <w:basedOn w:val="Privzetapisavaodstavka"/>
    <w:rsid w:val="00783310"/>
    <w:rPr>
      <w:color w:val="0000FF"/>
      <w:u w:val="single"/>
    </w:rPr>
  </w:style>
  <w:style w:type="paragraph" w:customStyle="1" w:styleId="podpisi">
    <w:name w:val="podpisi"/>
    <w:basedOn w:val="Navaden"/>
    <w:qFormat/>
    <w:rsid w:val="003E1C74"/>
    <w:pPr>
      <w:tabs>
        <w:tab w:val="left" w:pos="3402"/>
      </w:tabs>
    </w:pPr>
    <w:rPr>
      <w:lang w:val="it-IT"/>
    </w:rPr>
  </w:style>
  <w:style w:type="paragraph" w:styleId="Navadensplet">
    <w:name w:val="Normal (Web)"/>
    <w:basedOn w:val="Navaden"/>
    <w:rsid w:val="00BB718F"/>
    <w:rPr>
      <w:rFonts w:ascii="Verdana" w:hAnsi="Verdana"/>
      <w:color w:val="323232"/>
      <w:sz w:val="17"/>
      <w:szCs w:val="17"/>
    </w:rPr>
  </w:style>
  <w:style w:type="paragraph" w:customStyle="1" w:styleId="contentzone">
    <w:name w:val="contentzone"/>
    <w:basedOn w:val="Navaden"/>
    <w:rsid w:val="00BB718F"/>
    <w:rPr>
      <w:rFonts w:ascii="Verdana" w:hAnsi="Verdana"/>
      <w:color w:val="323232"/>
      <w:sz w:val="17"/>
      <w:szCs w:val="17"/>
    </w:rPr>
  </w:style>
  <w:style w:type="character" w:styleId="Krepko">
    <w:name w:val="Strong"/>
    <w:qFormat/>
    <w:rsid w:val="00BB718F"/>
    <w:rPr>
      <w:b/>
      <w:bCs/>
    </w:rPr>
  </w:style>
  <w:style w:type="paragraph" w:styleId="Besedilooblaka">
    <w:name w:val="Balloon Text"/>
    <w:basedOn w:val="Navaden"/>
    <w:link w:val="BesedilooblakaZnak"/>
    <w:semiHidden/>
    <w:unhideWhenUsed/>
    <w:rsid w:val="00007349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semiHidden/>
    <w:rsid w:val="00007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u00nt02\APPL\GDU%20PREDLOGE\GFU\GENERALNI%20FINAN&#268;NI%20URAD\GFU.dot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61FAA3D-3C56-4D5D-A893-94C81248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GFU</Template>
  <TotalTime>1</TotalTime>
  <Pages>2</Pages>
  <Words>468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Številka:</vt:lpstr>
      <vt:lpstr>Številka: </vt:lpstr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Številka:</dc:title>
  <dc:creator>Nevenka Muhič</dc:creator>
  <cp:lastModifiedBy>Nevenka Muhič</cp:lastModifiedBy>
  <cp:revision>3</cp:revision>
  <cp:lastPrinted>2019-12-10T07:44:00Z</cp:lastPrinted>
  <dcterms:created xsi:type="dcterms:W3CDTF">2019-12-10T09:44:00Z</dcterms:created>
  <dcterms:modified xsi:type="dcterms:W3CDTF">2019-12-10T09:45:00Z</dcterms:modified>
</cp:coreProperties>
</file>