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9BF3" w14:textId="54707C23" w:rsidR="00A41FE0" w:rsidRDefault="00A41FE0" w:rsidP="0000131D">
      <w:pPr>
        <w:jc w:val="center"/>
        <w:rPr>
          <w:b/>
          <w:bCs/>
          <w:sz w:val="32"/>
          <w:szCs w:val="28"/>
        </w:rPr>
      </w:pPr>
      <w:r w:rsidRPr="0000131D">
        <w:rPr>
          <w:b/>
          <w:bCs/>
          <w:sz w:val="32"/>
          <w:szCs w:val="28"/>
        </w:rPr>
        <w:t xml:space="preserve">Análises de correlações entre as variáveis </w:t>
      </w:r>
      <w:r w:rsidR="007F4B82">
        <w:rPr>
          <w:b/>
          <w:bCs/>
          <w:sz w:val="32"/>
          <w:szCs w:val="28"/>
        </w:rPr>
        <w:t>presentes em</w:t>
      </w:r>
      <w:r w:rsidRPr="0000131D">
        <w:rPr>
          <w:b/>
          <w:bCs/>
          <w:sz w:val="32"/>
          <w:szCs w:val="28"/>
        </w:rPr>
        <w:t xml:space="preserve"> 6 questionários aplicados pelo Centro de Coluna e dor do Hospital </w:t>
      </w:r>
      <w:proofErr w:type="spellStart"/>
      <w:r w:rsidRPr="0000131D">
        <w:rPr>
          <w:b/>
          <w:bCs/>
          <w:sz w:val="32"/>
          <w:szCs w:val="28"/>
        </w:rPr>
        <w:t>Lefort</w:t>
      </w:r>
      <w:proofErr w:type="spellEnd"/>
      <w:r w:rsidR="00122232">
        <w:rPr>
          <w:b/>
          <w:bCs/>
          <w:sz w:val="32"/>
          <w:szCs w:val="28"/>
        </w:rPr>
        <w:t xml:space="preserve"> no período de fevereiro a dezembro de 2019</w:t>
      </w:r>
    </w:p>
    <w:p w14:paraId="79766C19" w14:textId="3DFDB050" w:rsidR="00982706" w:rsidRDefault="00982706" w:rsidP="00982706">
      <w:pPr>
        <w:pStyle w:val="Ttulo1"/>
        <w:numPr>
          <w:ilvl w:val="0"/>
          <w:numId w:val="3"/>
        </w:numPr>
      </w:pPr>
      <w:r>
        <w:t>Metodologia</w:t>
      </w:r>
    </w:p>
    <w:p w14:paraId="6DFD668F" w14:textId="65EA4DD4" w:rsidR="00385CB1" w:rsidRPr="00982706" w:rsidRDefault="00385CB1" w:rsidP="00982706">
      <w:pPr>
        <w:pStyle w:val="Ttulo2"/>
        <w:numPr>
          <w:ilvl w:val="1"/>
          <w:numId w:val="4"/>
        </w:numPr>
      </w:pPr>
      <w:r w:rsidRPr="00982706">
        <w:t>Correlação entre variáveis binárias</w:t>
      </w:r>
    </w:p>
    <w:p w14:paraId="47B5C0A4" w14:textId="31C1AC57" w:rsidR="002E0CFF" w:rsidRDefault="008304BF" w:rsidP="00D452DD">
      <w:r>
        <w:t>Para avaliar a correlação entre as variáveis que se apresentam com caráter binário, fez-se uso da ferramenta de tabela cruzada (também denominada de tabela de contingência)</w:t>
      </w:r>
    </w:p>
    <w:p w14:paraId="2FBA7B24" w14:textId="4884019A" w:rsidR="00D452DD" w:rsidRDefault="00D452DD" w:rsidP="00D452DD">
      <w:pPr>
        <w:pStyle w:val="Legenda"/>
        <w:keepNext/>
      </w:pPr>
      <w:bookmarkStart w:id="0" w:name="_Ref52208069"/>
      <w:r>
        <w:t xml:space="preserve">Tabela </w:t>
      </w:r>
      <w:fldSimple w:instr=" SEQ Tabela \* ARABIC ">
        <w:r w:rsidR="003F4E66">
          <w:rPr>
            <w:noProof/>
          </w:rPr>
          <w:t>1</w:t>
        </w:r>
      </w:fldSimple>
      <w:bookmarkEnd w:id="0"/>
      <w:r>
        <w:t xml:space="preserve"> – Exemplo de tabela cruzada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E0CFF" w14:paraId="311EF403" w14:textId="77777777" w:rsidTr="002E0CFF">
        <w:trPr>
          <w:jc w:val="center"/>
        </w:trPr>
        <w:tc>
          <w:tcPr>
            <w:tcW w:w="2254" w:type="dxa"/>
          </w:tcPr>
          <w:p w14:paraId="39245B64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</w:tcPr>
          <w:p w14:paraId="42D2E8EB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4508" w:type="dxa"/>
            <w:gridSpan w:val="2"/>
          </w:tcPr>
          <w:p w14:paraId="5FE36177" w14:textId="7484758E" w:rsidR="002E0CFF" w:rsidRDefault="002E0CFF" w:rsidP="002E0CFF">
            <w:pPr>
              <w:ind w:firstLine="0"/>
              <w:jc w:val="center"/>
            </w:pPr>
            <w:r>
              <w:t>Variável B</w:t>
            </w:r>
          </w:p>
        </w:tc>
      </w:tr>
      <w:tr w:rsidR="002E0CFF" w14:paraId="0CED6DC1" w14:textId="77777777" w:rsidTr="002E0CFF">
        <w:trPr>
          <w:jc w:val="center"/>
        </w:trPr>
        <w:tc>
          <w:tcPr>
            <w:tcW w:w="2254" w:type="dxa"/>
          </w:tcPr>
          <w:p w14:paraId="0B83F282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5FFB096A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A51D72" w14:textId="0B31E8BF" w:rsidR="002E0CFF" w:rsidRDefault="002E0CFF" w:rsidP="002E0CFF">
            <w:pPr>
              <w:ind w:firstLine="0"/>
              <w:jc w:val="center"/>
            </w:pPr>
            <w:r>
              <w:t>0 (não)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5677482" w14:textId="12864E62" w:rsidR="002E0CFF" w:rsidRDefault="002E0CFF" w:rsidP="002E0CFF">
            <w:pPr>
              <w:ind w:firstLine="0"/>
              <w:jc w:val="center"/>
            </w:pPr>
            <w:r>
              <w:t>1 (sim)</w:t>
            </w:r>
          </w:p>
        </w:tc>
      </w:tr>
      <w:tr w:rsidR="002E0CFF" w14:paraId="205CEEBE" w14:textId="77777777" w:rsidTr="002E0CFF">
        <w:trPr>
          <w:jc w:val="center"/>
        </w:trPr>
        <w:tc>
          <w:tcPr>
            <w:tcW w:w="2254" w:type="dxa"/>
            <w:vMerge w:val="restart"/>
            <w:tcBorders>
              <w:right w:val="single" w:sz="4" w:space="0" w:color="auto"/>
            </w:tcBorders>
          </w:tcPr>
          <w:p w14:paraId="0B984661" w14:textId="56012489" w:rsidR="002E0CFF" w:rsidRDefault="002E0CFF" w:rsidP="002E0CFF">
            <w:pPr>
              <w:ind w:firstLine="0"/>
              <w:jc w:val="center"/>
            </w:pPr>
            <w:r>
              <w:t>Variável A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D0B2BB" w14:textId="0E9A7A48" w:rsidR="002E0CFF" w:rsidRDefault="002E0CFF" w:rsidP="002E0CFF">
            <w:pPr>
              <w:ind w:firstLine="0"/>
              <w:jc w:val="center"/>
            </w:pPr>
            <w:r>
              <w:t>0 (não)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14:paraId="40659251" w14:textId="6452CC97" w:rsidR="002E0CFF" w:rsidRDefault="002E0CFF" w:rsidP="002E0CFF">
            <w:pPr>
              <w:ind w:firstLine="0"/>
              <w:jc w:val="center"/>
            </w:pPr>
            <w:r>
              <w:t>a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3AAF3F0" w14:textId="577FAB13" w:rsidR="002E0CFF" w:rsidRDefault="002E0CFF" w:rsidP="002E0CFF">
            <w:pPr>
              <w:ind w:firstLine="0"/>
              <w:jc w:val="center"/>
            </w:pPr>
            <w:r>
              <w:t>b</w:t>
            </w:r>
          </w:p>
        </w:tc>
      </w:tr>
      <w:tr w:rsidR="002E0CFF" w14:paraId="78D85608" w14:textId="77777777" w:rsidTr="002E0CFF">
        <w:trPr>
          <w:jc w:val="center"/>
        </w:trPr>
        <w:tc>
          <w:tcPr>
            <w:tcW w:w="2254" w:type="dxa"/>
            <w:vMerge/>
            <w:tcBorders>
              <w:right w:val="single" w:sz="4" w:space="0" w:color="auto"/>
            </w:tcBorders>
          </w:tcPr>
          <w:p w14:paraId="283FBD7A" w14:textId="77777777" w:rsidR="002E0CFF" w:rsidRDefault="002E0CFF" w:rsidP="002E0CFF">
            <w:pPr>
              <w:ind w:firstLine="0"/>
              <w:jc w:val="center"/>
            </w:pPr>
          </w:p>
        </w:tc>
        <w:tc>
          <w:tcPr>
            <w:tcW w:w="2254" w:type="dxa"/>
            <w:tcBorders>
              <w:left w:val="single" w:sz="4" w:space="0" w:color="auto"/>
              <w:right w:val="single" w:sz="4" w:space="0" w:color="auto"/>
            </w:tcBorders>
          </w:tcPr>
          <w:p w14:paraId="3054AB9E" w14:textId="46F4933E" w:rsidR="002E0CFF" w:rsidRDefault="002E0CFF" w:rsidP="002E0CFF">
            <w:pPr>
              <w:ind w:firstLine="0"/>
              <w:jc w:val="center"/>
            </w:pPr>
            <w:r>
              <w:t>1 (sim)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14:paraId="3B488C03" w14:textId="57D2D928" w:rsidR="002E0CFF" w:rsidRDefault="002E0CFF" w:rsidP="002E0CFF">
            <w:pPr>
              <w:ind w:firstLine="0"/>
              <w:jc w:val="center"/>
            </w:pPr>
            <w:r>
              <w:t>c</w:t>
            </w:r>
          </w:p>
        </w:tc>
        <w:tc>
          <w:tcPr>
            <w:tcW w:w="2254" w:type="dxa"/>
          </w:tcPr>
          <w:p w14:paraId="69303118" w14:textId="4EE1CAE4" w:rsidR="002E0CFF" w:rsidRDefault="002E0CFF" w:rsidP="002E0CFF">
            <w:pPr>
              <w:ind w:firstLine="0"/>
              <w:jc w:val="center"/>
            </w:pPr>
            <w:r>
              <w:t>d</w:t>
            </w:r>
          </w:p>
        </w:tc>
      </w:tr>
    </w:tbl>
    <w:p w14:paraId="41855CFC" w14:textId="77777777" w:rsidR="002E0CFF" w:rsidRDefault="002E0CFF" w:rsidP="008304BF"/>
    <w:p w14:paraId="1EF28CEF" w14:textId="26AC2B6F" w:rsidR="00D452DD" w:rsidRDefault="00D452DD" w:rsidP="008304BF">
      <w:r>
        <w:t xml:space="preserve">Na </w:t>
      </w:r>
      <w:r>
        <w:fldChar w:fldCharType="begin"/>
      </w:r>
      <w:r>
        <w:instrText xml:space="preserve"> REF _Ref52208069 \h </w:instrText>
      </w:r>
      <w:r>
        <w:fldChar w:fldCharType="separate"/>
      </w:r>
      <w:r w:rsidR="003F4E66">
        <w:t xml:space="preserve">Tabela </w:t>
      </w:r>
      <w:r w:rsidR="003F4E66">
        <w:rPr>
          <w:noProof/>
        </w:rPr>
        <w:t>1</w:t>
      </w:r>
      <w:r>
        <w:fldChar w:fldCharType="end"/>
      </w:r>
      <w:r>
        <w:t xml:space="preserve"> têm-se um exemplo de tabela cruzada, na qual a, b, c e </w:t>
      </w:r>
      <w:r w:rsidR="00EE361F">
        <w:t xml:space="preserve">d </w:t>
      </w:r>
      <w:r>
        <w:t xml:space="preserve">são números inteiros. </w:t>
      </w:r>
      <w:r w:rsidR="007A70C0">
        <w:t xml:space="preserve">Avaliou-se neste estudo se a mudança de proporção não/sim da variável B possui correlação com a variável B. </w:t>
      </w:r>
    </w:p>
    <w:p w14:paraId="78D1429A" w14:textId="08577A11" w:rsidR="008304BF" w:rsidRDefault="008304BF" w:rsidP="008304BF">
      <w:r>
        <w:t>Para avaliar a relevância estatística dos resultados, utilizou-se o teste de hipótese de chi-quadrado:</w:t>
      </w:r>
    </w:p>
    <w:p w14:paraId="007A4942" w14:textId="46C05009" w:rsidR="008304BF" w:rsidRDefault="008304BF" w:rsidP="008304BF">
      <w:r>
        <w:t>H0: Independência – A não depende de B</w:t>
      </w:r>
    </w:p>
    <w:p w14:paraId="1704977E" w14:textId="15788BBE" w:rsidR="008304BF" w:rsidRDefault="008304BF" w:rsidP="008304BF">
      <w:r>
        <w:t>H1: Dependência – A depende de B</w:t>
      </w:r>
    </w:p>
    <w:p w14:paraId="02F042C0" w14:textId="7F48839D" w:rsidR="00843B06" w:rsidRDefault="00843B06" w:rsidP="00974C09">
      <w:r>
        <w:t xml:space="preserve">O cálculo do chi-quadrado se dá através da seguinte </w:t>
      </w:r>
      <w:r w:rsidR="00974C09">
        <w:t>expressão:</w:t>
      </w:r>
    </w:p>
    <w:p w14:paraId="43352A1F" w14:textId="5A93227A" w:rsidR="00C23355" w:rsidRPr="00C23355" w:rsidRDefault="00524015" w:rsidP="00C23355">
      <w:pPr>
        <w:rPr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hAnsi="Cambria Math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ad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-</m:t>
                  </m:r>
                  <m:r>
                    <w:rPr>
                      <w:rFonts w:ascii="Cambria Math" w:hAnsi="Cambria Math"/>
                      <w:shd w:val="clear" w:color="auto" w:fill="FFFFFF"/>
                    </w:rPr>
                    <m:t>bc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r>
                <w:rPr>
                  <w:rFonts w:ascii="Cambria Math" w:hAnsi="Cambria Math"/>
                  <w:shd w:val="clear" w:color="auto" w:fill="FFFFFF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hd w:val="clear" w:color="auto" w:fill="FFFFFF"/>
                    </w:rPr>
                    <m:t>4</m:t>
                  </m:r>
                </m:sub>
              </m:sSub>
            </m:den>
          </m:f>
        </m:oMath>
      </m:oMathPara>
    </w:p>
    <w:p w14:paraId="7F4BB3F4" w14:textId="1A8FDFF8" w:rsidR="00C23355" w:rsidRDefault="00C23355" w:rsidP="00C23355">
      <w:pPr>
        <w:rPr>
          <w:shd w:val="clear" w:color="auto" w:fill="FFFFFF"/>
        </w:rPr>
      </w:pPr>
      <w:r>
        <w:rPr>
          <w:shd w:val="clear" w:color="auto" w:fill="FFFFFF"/>
        </w:rPr>
        <w:t>Em que:</w:t>
      </w:r>
    </w:p>
    <w:p w14:paraId="1C8FDA6E" w14:textId="20E44CD0" w:rsidR="00C23355" w:rsidRDefault="00C23355" w:rsidP="00C23355">
      <w:pPr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a</m:t>
        </m:r>
      </m:oMath>
      <w:r>
        <w:rPr>
          <w:shd w:val="clear" w:color="auto" w:fill="FFFFFF"/>
        </w:rPr>
        <w:t xml:space="preserve">, </w:t>
      </w:r>
      <m:oMath>
        <m:r>
          <w:rPr>
            <w:rFonts w:ascii="Cambria Math" w:hAnsi="Cambria Math"/>
            <w:shd w:val="clear" w:color="auto" w:fill="FFFFFF"/>
          </w:rPr>
          <m:t>b</m:t>
        </m:r>
      </m:oMath>
      <w:r>
        <w:rPr>
          <w:shd w:val="clear" w:color="auto" w:fill="FFFFFF"/>
        </w:rPr>
        <w:t xml:space="preserve">, </w:t>
      </w:r>
      <m:oMath>
        <m:r>
          <w:rPr>
            <w:rFonts w:ascii="Cambria Math" w:hAnsi="Cambria Math"/>
            <w:shd w:val="clear" w:color="auto" w:fill="FFFFFF"/>
          </w:rPr>
          <m:t>c</m:t>
        </m:r>
      </m:oMath>
      <w:r>
        <w:rPr>
          <w:shd w:val="clear" w:color="auto" w:fill="FFFFFF"/>
        </w:rPr>
        <w:t xml:space="preserve"> e </w:t>
      </w:r>
      <m:oMath>
        <m:r>
          <w:rPr>
            <w:rFonts w:ascii="Cambria Math" w:hAnsi="Cambria Math"/>
            <w:shd w:val="clear" w:color="auto" w:fill="FFFFFF"/>
          </w:rPr>
          <m:t>d</m:t>
        </m:r>
      </m:oMath>
      <w:r>
        <w:rPr>
          <w:shd w:val="clear" w:color="auto" w:fill="FFFFFF"/>
        </w:rPr>
        <w:t xml:space="preserve">, são as contagens de observações presentes na </w:t>
      </w:r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REF _Ref52208069 \h  \* MERGEFORMAT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 w:rsidR="003F4E66">
        <w:t xml:space="preserve">Tabela </w:t>
      </w:r>
      <w:r w:rsidR="003F4E66">
        <w:rPr>
          <w:noProof/>
        </w:rPr>
        <w:t>1</w:t>
      </w:r>
      <w:r>
        <w:rPr>
          <w:shd w:val="clear" w:color="auto" w:fill="FFFFFF"/>
        </w:rPr>
        <w:fldChar w:fldCharType="end"/>
      </w:r>
    </w:p>
    <w:p w14:paraId="676EBDD1" w14:textId="50FC62F6" w:rsidR="00C23355" w:rsidRDefault="00524015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="00C23355">
        <w:rPr>
          <w:rFonts w:eastAsiaTheme="minorEastAsia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/>
            <w:shd w:val="clear" w:color="auto" w:fill="FFFFFF"/>
          </w:rPr>
          <m:t>a+b</m:t>
        </m:r>
      </m:oMath>
    </w:p>
    <w:p w14:paraId="4720D2EE" w14:textId="72FC37FA" w:rsidR="00C23355" w:rsidRDefault="00524015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</m:oMath>
      <w:r w:rsidR="00C23355">
        <w:rPr>
          <w:rFonts w:eastAsiaTheme="minorEastAsia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/>
            <w:shd w:val="clear" w:color="auto" w:fill="FFFFFF"/>
          </w:rPr>
          <m:t>c+d</m:t>
        </m:r>
      </m:oMath>
    </w:p>
    <w:p w14:paraId="0537AA6F" w14:textId="6182D48F" w:rsidR="00C23355" w:rsidRDefault="00524015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3</m:t>
            </m:r>
          </m:sub>
        </m:sSub>
      </m:oMath>
      <w:r w:rsidR="00C23355">
        <w:rPr>
          <w:rFonts w:eastAsiaTheme="minorEastAsia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/>
            <w:shd w:val="clear" w:color="auto" w:fill="FFFFFF"/>
          </w:rPr>
          <m:t>a+c</m:t>
        </m:r>
      </m:oMath>
    </w:p>
    <w:p w14:paraId="3BF715C0" w14:textId="1CB725B2" w:rsidR="00C23355" w:rsidRDefault="00524015" w:rsidP="00C23355">
      <w:pPr>
        <w:rPr>
          <w:rFonts w:eastAsiaTheme="minorEastAsia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4</m:t>
            </m:r>
          </m:sub>
        </m:sSub>
        <m:r>
          <w:rPr>
            <w:rFonts w:ascii="Cambria Math" w:hAnsi="Cambria Math"/>
            <w:shd w:val="clear" w:color="auto" w:fill="FFFFFF"/>
          </w:rPr>
          <m:t>:</m:t>
        </m:r>
      </m:oMath>
      <w:r w:rsidR="00C23355">
        <w:rPr>
          <w:rFonts w:eastAsiaTheme="minorEastAsia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shd w:val="clear" w:color="auto" w:fill="FFFFFF"/>
          </w:rPr>
          <m:t>b+d</m:t>
        </m:r>
      </m:oMath>
    </w:p>
    <w:p w14:paraId="10C914BA" w14:textId="5F68CCF3" w:rsidR="001A5375" w:rsidRPr="00C23355" w:rsidRDefault="001A5375" w:rsidP="00C23355">
      <w:pPr>
        <w:rPr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N</m:t>
        </m:r>
      </m:oMath>
      <w:r>
        <w:rPr>
          <w:rFonts w:eastAsiaTheme="minorEastAsia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3</m:t>
            </m:r>
          </m:sub>
        </m:sSub>
        <m:r>
          <w:rPr>
            <w:rFonts w:ascii="Cambria Math" w:eastAsiaTheme="minorEastAsia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hd w:val="clear" w:color="auto" w:fill="FFFFFF"/>
              </w:rPr>
              <m:t>n</m:t>
            </m:r>
          </m:e>
          <m:sub>
            <m:r>
              <w:rPr>
                <w:rFonts w:ascii="Cambria Math" w:eastAsiaTheme="minorEastAsia" w:hAnsi="Cambria Math"/>
                <w:shd w:val="clear" w:color="auto" w:fill="FFFFFF"/>
              </w:rPr>
              <m:t>4</m:t>
            </m:r>
          </m:sub>
        </m:sSub>
      </m:oMath>
    </w:p>
    <w:p w14:paraId="0A82B68D" w14:textId="5FF63045" w:rsidR="008304BF" w:rsidRPr="00C23355" w:rsidRDefault="008304BF" w:rsidP="008304BF">
      <w:pPr>
        <w:rPr>
          <w:rFonts w:eastAsiaTheme="minorEastAsia"/>
        </w:rPr>
      </w:pPr>
      <w:r>
        <w:t>Pode-se interpretar este teste de hipótese como a diferença na distribuição de frequência da variável A devido a inserção da variável B. Deste modo, quando o valor do chi-quadrado calculado é maior ou igual ao chi</w:t>
      </w:r>
      <w:r w:rsidR="00EE361F">
        <w:t>-</w:t>
      </w:r>
      <w:r>
        <w:t xml:space="preserve">quadrado tabelado, ao adotar nível de significância de 5 %, pode-se rejeitar a hipótese nula da independência e considerar a hipótese alternativa de dependência da variável A em relação à variável B. </w:t>
      </w:r>
    </w:p>
    <w:p w14:paraId="7525B565" w14:textId="26CC8D3E" w:rsidR="00385CB1" w:rsidRDefault="00385CB1" w:rsidP="00982706">
      <w:pPr>
        <w:pStyle w:val="Ttulo2"/>
        <w:numPr>
          <w:ilvl w:val="1"/>
          <w:numId w:val="4"/>
        </w:numPr>
        <w:ind w:left="720"/>
      </w:pPr>
      <w:r>
        <w:t xml:space="preserve">Correlação entre </w:t>
      </w:r>
      <w:r w:rsidR="00982706">
        <w:t>questões</w:t>
      </w:r>
      <w:r>
        <w:t xml:space="preserve"> binárias e </w:t>
      </w:r>
      <w:r w:rsidR="00982706">
        <w:t>questões com resposta</w:t>
      </w:r>
      <w:r>
        <w:t xml:space="preserve"> de caráter ordinal</w:t>
      </w:r>
    </w:p>
    <w:p w14:paraId="69729358" w14:textId="0770710F" w:rsidR="00982706" w:rsidRDefault="00982706" w:rsidP="002F5288">
      <w:r>
        <w:t>A correlação entre questões que se apresentam dicotômicas e questões que apresentam</w:t>
      </w:r>
      <w:r w:rsidR="00EE361F">
        <w:t xml:space="preserve"> em escala ordinal</w:t>
      </w:r>
      <w:r>
        <w:t xml:space="preserve">, foi realizada através do coeficiente de ponto </w:t>
      </w:r>
      <w:proofErr w:type="spellStart"/>
      <w:r>
        <w:t>bisserial</w:t>
      </w:r>
      <w:proofErr w:type="spellEnd"/>
      <w:r>
        <w:t xml:space="preserve">. </w:t>
      </w:r>
    </w:p>
    <w:p w14:paraId="0C56631C" w14:textId="3DD7A947" w:rsidR="002F5288" w:rsidRDefault="00EE361F" w:rsidP="002F5288">
      <w:r>
        <w:t xml:space="preserve">Considera-se </w:t>
      </w:r>
      <w:r w:rsidR="002F5288">
        <w:t xml:space="preserve">a divisão de um grupo em </w:t>
      </w:r>
      <w:r w:rsidR="0060257E">
        <w:t>(</w:t>
      </w:r>
      <w:r w:rsidR="002F5288">
        <w:t>0 – não</w:t>
      </w:r>
      <w:r w:rsidR="0060257E">
        <w:t>)</w:t>
      </w:r>
      <w:r w:rsidR="002F5288">
        <w:t xml:space="preserve"> e </w:t>
      </w:r>
      <w:r w:rsidR="0060257E">
        <w:t>(</w:t>
      </w:r>
      <w:r w:rsidR="002F5288">
        <w:t>1 – sim</w:t>
      </w:r>
      <w:r w:rsidR="0060257E">
        <w:t>)</w:t>
      </w:r>
      <w:r w:rsidR="003D44F7">
        <w:t xml:space="preserve"> e, portanto</w:t>
      </w:r>
      <w:r>
        <w:t xml:space="preserve">, pode-se </w:t>
      </w:r>
      <w:r w:rsidR="002F5288">
        <w:t>calcula</w:t>
      </w:r>
      <w:r>
        <w:t>r</w:t>
      </w:r>
      <w:r w:rsidR="002F5288">
        <w:t xml:space="preserve"> o coeficiente de ponto </w:t>
      </w:r>
      <w:proofErr w:type="spellStart"/>
      <w:r w:rsidR="002F5288">
        <w:t>bisserial</w:t>
      </w:r>
      <w:proofErr w:type="spellEnd"/>
      <w:r w:rsidR="002F5288">
        <w:t xml:space="preserve"> de acordo com a seguinte expressão:</w:t>
      </w:r>
    </w:p>
    <w:p w14:paraId="7B88794D" w14:textId="66498648" w:rsidR="002F5288" w:rsidRPr="000B0722" w:rsidRDefault="00524015" w:rsidP="002F528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w:bookmarkStart w:id="1" w:name="_Hlk52210339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w:bookmarkEnd w:id="1"/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 xml:space="preserve">   </m:t>
          </m:r>
        </m:oMath>
      </m:oMathPara>
    </w:p>
    <w:p w14:paraId="2DB16B9F" w14:textId="36807CCE" w:rsidR="000B0722" w:rsidRDefault="000B0722" w:rsidP="002F5288">
      <w:pPr>
        <w:rPr>
          <w:rFonts w:eastAsiaTheme="minorEastAsia"/>
        </w:rPr>
      </w:pPr>
      <w:r>
        <w:rPr>
          <w:rFonts w:eastAsiaTheme="minorEastAsia"/>
        </w:rPr>
        <w:t>Em que:</w:t>
      </w:r>
    </w:p>
    <w:p w14:paraId="2DDD5E67" w14:textId="4845881E" w:rsidR="000B0722" w:rsidRDefault="00524015" w:rsidP="000B072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B0722">
        <w:rPr>
          <w:rFonts w:eastAsiaTheme="minorEastAsia"/>
        </w:rPr>
        <w:t xml:space="preserve"> : Desvio padrão considerando todos os dados da população</w:t>
      </w:r>
    </w:p>
    <w:p w14:paraId="2E83C097" w14:textId="2026268F" w:rsidR="000B0722" w:rsidRDefault="00524015" w:rsidP="000B072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B0722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B0722">
        <w:rPr>
          <w:rFonts w:eastAsiaTheme="minorEastAsia"/>
        </w:rPr>
        <w:t>:</w:t>
      </w:r>
      <w:r w:rsidR="000B0722" w:rsidRPr="000B0722">
        <w:rPr>
          <w:rFonts w:eastAsiaTheme="minorEastAsia"/>
        </w:rPr>
        <w:t xml:space="preserve"> </w:t>
      </w:r>
      <w:r w:rsidR="000B0722">
        <w:rPr>
          <w:rFonts w:eastAsiaTheme="minorEastAsia"/>
        </w:rPr>
        <w:t xml:space="preserve">Média da variável que apresenta caráter </w:t>
      </w:r>
      <w:r w:rsidR="00141CF4">
        <w:rPr>
          <w:rFonts w:eastAsiaTheme="minorEastAsia"/>
        </w:rPr>
        <w:t>ordinal</w:t>
      </w:r>
      <w:r w:rsidR="000B0722">
        <w:rPr>
          <w:rFonts w:eastAsiaTheme="minorEastAsia"/>
        </w:rPr>
        <w:t xml:space="preserve"> para os pacientes que responderam </w:t>
      </w:r>
      <w:proofErr w:type="gramStart"/>
      <w:r w:rsidR="000B0722">
        <w:rPr>
          <w:rFonts w:eastAsiaTheme="minorEastAsia"/>
        </w:rPr>
        <w:t>a</w:t>
      </w:r>
      <w:proofErr w:type="gramEnd"/>
      <w:r w:rsidR="000B0722">
        <w:rPr>
          <w:rFonts w:eastAsiaTheme="minorEastAsia"/>
        </w:rPr>
        <w:t xml:space="preserve"> questão de forma negativa (0 – não)</w:t>
      </w:r>
      <w:r w:rsidR="000B0722" w:rsidRPr="000B0722">
        <w:rPr>
          <w:rFonts w:eastAsiaTheme="minorEastAsia"/>
        </w:rPr>
        <w:t xml:space="preserve"> </w:t>
      </w:r>
      <w:r w:rsidR="00814EC1">
        <w:rPr>
          <w:rFonts w:eastAsiaTheme="minorEastAsia"/>
        </w:rPr>
        <w:t>e de forma</w:t>
      </w:r>
      <w:r w:rsidR="000B0722">
        <w:rPr>
          <w:rFonts w:eastAsiaTheme="minorEastAsia"/>
        </w:rPr>
        <w:t xml:space="preserve"> positiva (1 - sim), respectivamente</w:t>
      </w:r>
    </w:p>
    <w:p w14:paraId="76B68AE5" w14:textId="0A694118" w:rsidR="00AB1BE1" w:rsidRDefault="00524015" w:rsidP="000B0722">
      <w:pPr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1BE1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1BE1">
        <w:rPr>
          <w:rFonts w:eastAsiaTheme="minorEastAsia"/>
        </w:rPr>
        <w:t>: Número de pessoas pertencentes a cada um dos grupos (0 – não) e (1 – sim)</w:t>
      </w:r>
    </w:p>
    <w:p w14:paraId="02F2DD0F" w14:textId="6B8F1EC6" w:rsidR="0060257E" w:rsidRDefault="0060257E" w:rsidP="000B0722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A avaliação da sig</w:t>
      </w:r>
      <w:r w:rsidR="00B20022">
        <w:rPr>
          <w:rFonts w:eastAsiaTheme="minorEastAsia"/>
        </w:rPr>
        <w:t>ni</w:t>
      </w:r>
      <w:r>
        <w:rPr>
          <w:rFonts w:eastAsiaTheme="minorEastAsia"/>
        </w:rPr>
        <w:t>ficância estatística deste coeficiente é realizada pelo teste de hipótese d</w:t>
      </w:r>
      <w:r w:rsidR="00D51C3B">
        <w:rPr>
          <w:rFonts w:eastAsiaTheme="minorEastAsia"/>
        </w:rPr>
        <w:t>o</w:t>
      </w:r>
      <w:r>
        <w:rPr>
          <w:rFonts w:eastAsiaTheme="minorEastAsia"/>
        </w:rPr>
        <w:t xml:space="preserve"> coeficiente de correlação de Pearson, dado que a correlação de ponto </w:t>
      </w:r>
      <w:proofErr w:type="spellStart"/>
      <w:r>
        <w:rPr>
          <w:rFonts w:eastAsiaTheme="minorEastAsia"/>
        </w:rPr>
        <w:t>bisserial</w:t>
      </w:r>
      <w:proofErr w:type="spellEnd"/>
      <w:r>
        <w:rPr>
          <w:rFonts w:eastAsiaTheme="minorEastAsia"/>
        </w:rPr>
        <w:t xml:space="preserve"> é um caso específico daquel</w:t>
      </w:r>
      <w:r w:rsidR="00814EC1">
        <w:rPr>
          <w:rFonts w:eastAsiaTheme="minorEastAsia"/>
        </w:rPr>
        <w:t>a</w:t>
      </w:r>
      <w:r>
        <w:rPr>
          <w:rFonts w:eastAsiaTheme="minorEastAsia"/>
        </w:rPr>
        <w:t xml:space="preserve"> para uma das variáveis sendo dicotômica. </w:t>
      </w:r>
      <w:r w:rsidR="00D51C3B">
        <w:rPr>
          <w:rFonts w:eastAsiaTheme="minorEastAsia"/>
        </w:rPr>
        <w:t>Neste teste de hipótese têm-se:</w:t>
      </w:r>
    </w:p>
    <w:p w14:paraId="3402E74E" w14:textId="387425F4" w:rsidR="00D51C3B" w:rsidRDefault="00D51C3B" w:rsidP="00D51C3B">
      <w:r>
        <w:t xml:space="preserve">H0: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pb</m:t>
            </m:r>
          </m:sub>
        </m:sSub>
      </m:oMath>
      <w:r>
        <w:rPr>
          <w:rFonts w:eastAsiaTheme="minorEastAsia"/>
        </w:rPr>
        <w:t xml:space="preserve"> = 0 </w:t>
      </w:r>
    </w:p>
    <w:p w14:paraId="6E705D45" w14:textId="457CC0A2" w:rsidR="00D51C3B" w:rsidRDefault="00D51C3B" w:rsidP="00D51C3B">
      <w:pPr>
        <w:rPr>
          <w:rFonts w:cs="Arial"/>
          <w:color w:val="222222"/>
          <w:shd w:val="clear" w:color="auto" w:fill="FFFFFF"/>
        </w:rPr>
      </w:pPr>
      <w:r>
        <w:t xml:space="preserve">H1: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pb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cs="Arial"/>
          <w:color w:val="222222"/>
          <w:shd w:val="clear" w:color="auto" w:fill="FFFFFF"/>
        </w:rPr>
        <w:t>≠ 0</w:t>
      </w:r>
    </w:p>
    <w:p w14:paraId="5DF6CDBB" w14:textId="44810041" w:rsidR="00A41928" w:rsidRDefault="00A41928" w:rsidP="00D51C3B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O teste utiliza a distribuição </w:t>
      </w:r>
      <m:oMath>
        <m:r>
          <w:rPr>
            <w:rFonts w:ascii="Cambria Math" w:hAnsi="Cambria Math" w:cs="Arial"/>
            <w:color w:val="222222"/>
            <w:shd w:val="clear" w:color="auto" w:fill="FFFFFF"/>
          </w:rPr>
          <m:t>t</m:t>
        </m:r>
      </m:oMath>
      <w:r>
        <w:rPr>
          <w:rFonts w:cs="Arial"/>
          <w:color w:val="222222"/>
          <w:shd w:val="clear" w:color="auto" w:fill="FFFFFF"/>
        </w:rPr>
        <w:t xml:space="preserve"> de </w:t>
      </w:r>
      <w:proofErr w:type="spellStart"/>
      <w:r w:rsidRPr="000448D0">
        <w:rPr>
          <w:rFonts w:cs="Arial"/>
          <w:i/>
          <w:iCs/>
          <w:color w:val="222222"/>
          <w:shd w:val="clear" w:color="auto" w:fill="FFFFFF"/>
        </w:rPr>
        <w:t>student</w:t>
      </w:r>
      <w:proofErr w:type="spellEnd"/>
      <w:r w:rsidR="000448D0">
        <w:rPr>
          <w:rFonts w:cs="Arial"/>
          <w:color w:val="222222"/>
          <w:shd w:val="clear" w:color="auto" w:fill="FFFFFF"/>
        </w:rPr>
        <w:t>,</w:t>
      </w:r>
      <w:r>
        <w:rPr>
          <w:rFonts w:cs="Arial"/>
          <w:color w:val="222222"/>
          <w:shd w:val="clear" w:color="auto" w:fill="FFFFFF"/>
        </w:rPr>
        <w:t xml:space="preserve"> de modo que o valor de t calculado se dá por:</w:t>
      </w:r>
    </w:p>
    <w:p w14:paraId="479FC193" w14:textId="0DB9E212" w:rsidR="00A41928" w:rsidRPr="00843B06" w:rsidRDefault="00A41928" w:rsidP="00D51C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pb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pb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2F2272FB" w14:textId="0885DDA8" w:rsidR="00843B06" w:rsidRDefault="00843B06" w:rsidP="00D51C3B">
      <w:pPr>
        <w:rPr>
          <w:rFonts w:eastAsiaTheme="minorEastAsia"/>
        </w:rPr>
      </w:pPr>
      <w:r>
        <w:rPr>
          <w:rFonts w:eastAsiaTheme="minorEastAsia"/>
        </w:rPr>
        <w:t xml:space="preserve">Em que: </w:t>
      </w:r>
    </w:p>
    <w:p w14:paraId="12953247" w14:textId="12F72A54" w:rsidR="004211F1" w:rsidRDefault="00524015" w:rsidP="00D51C3B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pb</m:t>
            </m:r>
          </m:sub>
        </m:sSub>
      </m:oMath>
      <w:r w:rsidR="004211F1">
        <w:rPr>
          <w:rFonts w:eastAsiaTheme="minorEastAsia"/>
        </w:rPr>
        <w:t xml:space="preserve">: Coeficiente de correlação de ponto </w:t>
      </w:r>
      <w:proofErr w:type="spellStart"/>
      <w:r w:rsidR="004211F1">
        <w:rPr>
          <w:rFonts w:eastAsiaTheme="minorEastAsia"/>
        </w:rPr>
        <w:t>bisserial</w:t>
      </w:r>
      <w:proofErr w:type="spellEnd"/>
    </w:p>
    <w:p w14:paraId="6E5F713E" w14:textId="2FF8F502" w:rsidR="000448D0" w:rsidRDefault="000448D0" w:rsidP="000448D0">
      <w:pPr>
        <w:rPr>
          <w:rFonts w:eastAsiaTheme="minorEastAsia"/>
        </w:rPr>
      </w:pPr>
      <m:oMath>
        <m:r>
          <w:rPr>
            <w:rFonts w:ascii="Cambria Math" w:hAnsi="Cambria Math"/>
          </w:rPr>
          <m:t>n:</m:t>
        </m:r>
      </m:oMath>
      <w:r>
        <w:rPr>
          <w:rFonts w:eastAsiaTheme="minorEastAsia"/>
        </w:rPr>
        <w:t xml:space="preserve"> Número de observações</w:t>
      </w:r>
    </w:p>
    <w:p w14:paraId="1EF5398A" w14:textId="5360D01D" w:rsidR="002F5288" w:rsidRPr="00F615EB" w:rsidRDefault="000448D0" w:rsidP="00F615EB">
      <w:pPr>
        <w:rPr>
          <w:rFonts w:eastAsiaTheme="minorEastAsia"/>
        </w:rPr>
      </w:pPr>
      <w:r>
        <w:rPr>
          <w:rFonts w:eastAsiaTheme="minorEastAsia"/>
        </w:rPr>
        <w:t xml:space="preserve">De acordo com o critério estatístico adotado, se o valor de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calculado for superior ao valor de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tabelado ao adotar nível de significância de 5 %, rejeita-se a hipótese nula que aponta o coeficiente como nulo. </w:t>
      </w:r>
      <w:r w:rsidR="00AE00E5">
        <w:rPr>
          <w:rFonts w:eastAsiaTheme="minorEastAsia"/>
        </w:rPr>
        <w:t xml:space="preserve">Deste modo, neste documento foram apresentados apenas as correlações que passaram por este teste. </w:t>
      </w:r>
    </w:p>
    <w:p w14:paraId="0A0C3DFF" w14:textId="4DFBFB30" w:rsidR="000634C1" w:rsidRDefault="00421B8F" w:rsidP="00A301B6">
      <w:pPr>
        <w:pStyle w:val="Ttulo1"/>
        <w:numPr>
          <w:ilvl w:val="0"/>
          <w:numId w:val="1"/>
        </w:numPr>
        <w:ind w:left="1068"/>
        <w:jc w:val="left"/>
      </w:pPr>
      <w:r>
        <w:t>Principais correlações das variáveis do Questionário para Diagnóstico de Dor Neuropática 4 (DN4)</w:t>
      </w:r>
      <w:r w:rsidR="000634C1">
        <w:br/>
      </w:r>
    </w:p>
    <w:p w14:paraId="26296DA8" w14:textId="6F0B5741" w:rsidR="00EA6609" w:rsidRDefault="000634C1" w:rsidP="00A301B6">
      <w:pPr>
        <w:pStyle w:val="Legenda"/>
        <w:ind w:left="2"/>
      </w:pPr>
      <w:bookmarkStart w:id="2" w:name="_Ref51702158"/>
      <w:r>
        <w:t xml:space="preserve">Figura </w:t>
      </w:r>
      <w:fldSimple w:instr=" SEQ Figura \* ARABIC ">
        <w:r w:rsidR="003F4E66">
          <w:rPr>
            <w:noProof/>
          </w:rPr>
          <w:t>1</w:t>
        </w:r>
      </w:fldSimple>
      <w:bookmarkEnd w:id="2"/>
      <w:r>
        <w:t xml:space="preserve"> – Principais correlações com as variáveis presentes no Questionário para Diagnóstico de Dor Neuropática 4 (DN4)</w:t>
      </w:r>
    </w:p>
    <w:p w14:paraId="10AF48BB" w14:textId="77777777" w:rsidR="00221CCA" w:rsidRPr="00221CCA" w:rsidRDefault="00221CCA" w:rsidP="00A301B6">
      <w:pPr>
        <w:ind w:left="2" w:firstLine="0"/>
      </w:pPr>
    </w:p>
    <w:p w14:paraId="7AA8AB52" w14:textId="797A2B29" w:rsidR="000634C1" w:rsidRDefault="00521131" w:rsidP="00A301B6">
      <w:pPr>
        <w:pStyle w:val="Legenda"/>
        <w:ind w:left="2" w:firstLine="0"/>
      </w:pPr>
      <w:r>
        <w:rPr>
          <w:noProof/>
          <w:lang w:eastAsia="ja-JP"/>
        </w:rPr>
        <w:lastRenderedPageBreak/>
        <w:drawing>
          <wp:inline distT="0" distB="0" distL="0" distR="0" wp14:anchorId="24AFDDA0" wp14:editId="3C6F177B">
            <wp:extent cx="5731510" cy="5731510"/>
            <wp:effectExtent l="0" t="0" r="254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78F91" w14:textId="5E3EF76D" w:rsidR="00EA6609" w:rsidRDefault="00EA6609" w:rsidP="00A301B6">
      <w:pPr>
        <w:ind w:left="2"/>
      </w:pPr>
    </w:p>
    <w:p w14:paraId="2D7864DB" w14:textId="4DB302B1" w:rsidR="00B062B7" w:rsidRDefault="00EA6609" w:rsidP="00A301B6">
      <w:pPr>
        <w:ind w:left="2"/>
      </w:pPr>
      <w:r>
        <w:t xml:space="preserve">Observa-se da </w:t>
      </w:r>
      <w:r>
        <w:fldChar w:fldCharType="begin"/>
      </w:r>
      <w:r>
        <w:instrText xml:space="preserve"> REF _Ref51702158 \h </w:instrText>
      </w:r>
      <w:r>
        <w:fldChar w:fldCharType="separate"/>
      </w:r>
      <w:r w:rsidR="003F4E66">
        <w:t xml:space="preserve">Figura </w:t>
      </w:r>
      <w:r w:rsidR="003F4E66">
        <w:rPr>
          <w:noProof/>
        </w:rPr>
        <w:t>1</w:t>
      </w:r>
      <w:r>
        <w:fldChar w:fldCharType="end"/>
      </w:r>
      <w:r>
        <w:t xml:space="preserve"> que </w:t>
      </w:r>
      <w:r w:rsidR="00521131">
        <w:t>79,19</w:t>
      </w:r>
      <w:r>
        <w:t xml:space="preserve"> % dos pacientes que assinalaram que apresentem o sintoma de adormecimento na região em que sentem dor, também marcaram que a dor apresenta a característica de </w:t>
      </w:r>
      <w:r w:rsidR="00521131">
        <w:t>queimação</w:t>
      </w:r>
      <w:r>
        <w:t xml:space="preserve">. </w:t>
      </w:r>
      <w:r w:rsidR="00337511">
        <w:t xml:space="preserve">Destaca-se também que </w:t>
      </w:r>
      <w:r w:rsidR="006B56A9">
        <w:t>68,6</w:t>
      </w:r>
      <w:r w:rsidR="00337511">
        <w:t xml:space="preserve"> % das pessoas que disseram apresentar o sintoma de </w:t>
      </w:r>
      <w:r w:rsidR="006B56A9">
        <w:t>queima</w:t>
      </w:r>
      <w:r w:rsidR="0013710F">
        <w:t>ç</w:t>
      </w:r>
      <w:r w:rsidR="006B56A9">
        <w:t xml:space="preserve">ão </w:t>
      </w:r>
      <w:r w:rsidR="00337511">
        <w:t>na região em que sentem dor, marcaram a opção de sentirem dor nas</w:t>
      </w:r>
      <w:r w:rsidR="006B56A9">
        <w:t xml:space="preserve"> costas.</w:t>
      </w:r>
    </w:p>
    <w:p w14:paraId="785B49FD" w14:textId="0C66FB81" w:rsidR="000F4EE1" w:rsidRDefault="000F4EE1" w:rsidP="00A301B6">
      <w:pPr>
        <w:pStyle w:val="Legenda"/>
        <w:keepNext/>
        <w:ind w:left="2"/>
      </w:pPr>
      <w:bookmarkStart w:id="3" w:name="_Ref52212179"/>
      <w:r>
        <w:lastRenderedPageBreak/>
        <w:t xml:space="preserve">Figura </w:t>
      </w:r>
      <w:fldSimple w:instr=" SEQ Figura \* ARABIC ">
        <w:r w:rsidR="003F4E66">
          <w:rPr>
            <w:noProof/>
          </w:rPr>
          <w:t>2</w:t>
        </w:r>
      </w:fldSimple>
      <w:bookmarkEnd w:id="3"/>
      <w:r>
        <w:t xml:space="preserve"> – Principais correlações entre a</w:t>
      </w:r>
      <w:r w:rsidR="00500CC1">
        <w:t xml:space="preserve"> questão do questionário DN4, sobre apresentar ou não a característica de alfinetada e agulhada na região da dor</w:t>
      </w:r>
    </w:p>
    <w:p w14:paraId="7B1F849A" w14:textId="496860DB" w:rsidR="000F4EE1" w:rsidRDefault="00221CCA" w:rsidP="00A301B6">
      <w:pPr>
        <w:ind w:left="2" w:firstLine="0"/>
      </w:pPr>
      <w:r>
        <w:rPr>
          <w:noProof/>
          <w:lang w:eastAsia="ja-JP"/>
        </w:rPr>
        <w:drawing>
          <wp:inline distT="0" distB="0" distL="0" distR="0" wp14:anchorId="78E1E369" wp14:editId="0315B591">
            <wp:extent cx="5731510" cy="3930015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A110B" w14:textId="55E75433" w:rsidR="00B90378" w:rsidRDefault="00B90378" w:rsidP="00A301B6">
      <w:pPr>
        <w:ind w:left="2"/>
      </w:pPr>
      <w:r>
        <w:t xml:space="preserve">A </w:t>
      </w:r>
      <w:r>
        <w:fldChar w:fldCharType="begin"/>
      </w:r>
      <w:r>
        <w:instrText xml:space="preserve"> REF _Ref52212179 \h </w:instrText>
      </w:r>
      <w:r w:rsidR="00BC646D">
        <w:instrText xml:space="preserve"> \* MERGEFORMAT </w:instrText>
      </w:r>
      <w:r>
        <w:fldChar w:fldCharType="separate"/>
      </w:r>
      <w:r w:rsidR="003F4E66">
        <w:t xml:space="preserve">Figura </w:t>
      </w:r>
      <w:r w:rsidR="003F4E66">
        <w:rPr>
          <w:noProof/>
        </w:rPr>
        <w:t>2</w:t>
      </w:r>
      <w:r>
        <w:fldChar w:fldCharType="end"/>
      </w:r>
      <w:r>
        <w:t xml:space="preserve"> apresenta quais foram as questões de caráter ordinal que apresentam maior correlação com a questão de caráter binária se o paciente apresenta ou não o sintoma de alfinetada e agulhada na região de sua dor. </w:t>
      </w:r>
      <w:r w:rsidR="000510CB">
        <w:t xml:space="preserve">Através da </w:t>
      </w:r>
      <w:r w:rsidR="0067452B">
        <w:fldChar w:fldCharType="begin"/>
      </w:r>
      <w:r w:rsidR="0067452B">
        <w:instrText xml:space="preserve"> REF _Ref52213150 \h </w:instrText>
      </w:r>
      <w:r w:rsidR="0067452B">
        <w:fldChar w:fldCharType="separate"/>
      </w:r>
      <w:r w:rsidR="003F4E66">
        <w:t xml:space="preserve">Figura </w:t>
      </w:r>
      <w:r w:rsidR="003F4E66">
        <w:rPr>
          <w:noProof/>
        </w:rPr>
        <w:t>3</w:t>
      </w:r>
      <w:r w:rsidR="0067452B">
        <w:fldChar w:fldCharType="end"/>
      </w:r>
      <w:r w:rsidR="0067452B">
        <w:t xml:space="preserve"> têm-se um exemplo do porquê a correlação no valor de </w:t>
      </w:r>
      <w:r w:rsidR="00221CCA">
        <w:t>64,42</w:t>
      </w:r>
      <w:r w:rsidR="0067452B">
        <w:t xml:space="preserve"> para a questão BPI – Relacionamento com outras pessoas</w:t>
      </w:r>
      <w:r w:rsidR="00C64C20">
        <w:t>.</w:t>
      </w:r>
      <w:r w:rsidR="00814EC1">
        <w:t xml:space="preserve"> </w:t>
      </w:r>
    </w:p>
    <w:p w14:paraId="7CF775D6" w14:textId="7AA14E2C" w:rsidR="000510CB" w:rsidRPr="000510CB" w:rsidRDefault="000510CB" w:rsidP="00A301B6">
      <w:pPr>
        <w:pStyle w:val="Legenda"/>
        <w:keepNext/>
        <w:ind w:left="2"/>
      </w:pPr>
      <w:bookmarkStart w:id="4" w:name="_Ref52213150"/>
      <w:r>
        <w:lastRenderedPageBreak/>
        <w:t xml:space="preserve">Figura </w:t>
      </w:r>
      <w:fldSimple w:instr=" SEQ Figura \* ARABIC ">
        <w:r w:rsidR="003F4E66">
          <w:rPr>
            <w:noProof/>
          </w:rPr>
          <w:t>3</w:t>
        </w:r>
      </w:fldSimple>
      <w:bookmarkEnd w:id="4"/>
      <w:r>
        <w:t xml:space="preserve"> – Gráfico de </w:t>
      </w:r>
      <w:proofErr w:type="spellStart"/>
      <w:r w:rsidRPr="000510CB">
        <w:rPr>
          <w:i/>
          <w:iCs w:val="0"/>
        </w:rPr>
        <w:t>boxplot</w:t>
      </w:r>
      <w:proofErr w:type="spellEnd"/>
      <w:r>
        <w:rPr>
          <w:i/>
          <w:iCs w:val="0"/>
        </w:rPr>
        <w:t xml:space="preserve"> </w:t>
      </w:r>
      <w:r>
        <w:t>para visualização da distribuição dos dados da questão 2-b do questionário DN4 com a interferência da dor no relacionamento com outras pessoas</w:t>
      </w:r>
    </w:p>
    <w:p w14:paraId="2308538F" w14:textId="4955E3B0" w:rsidR="00AD05A1" w:rsidRDefault="00221CCA" w:rsidP="00A301B6">
      <w:pPr>
        <w:ind w:left="2" w:firstLine="0"/>
        <w:jc w:val="center"/>
      </w:pPr>
      <w:r>
        <w:rPr>
          <w:noProof/>
          <w:lang w:eastAsia="ja-JP"/>
        </w:rPr>
        <w:drawing>
          <wp:inline distT="0" distB="0" distL="0" distR="0" wp14:anchorId="0E14C215" wp14:editId="2157F6EF">
            <wp:extent cx="5731510" cy="4585335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CB92A" w14:textId="7E4AF07A" w:rsidR="00C64C20" w:rsidRDefault="00C64C20" w:rsidP="00A301B6">
      <w:pPr>
        <w:ind w:left="2"/>
      </w:pPr>
      <w:r>
        <w:t xml:space="preserve">Na </w:t>
      </w:r>
      <w:r>
        <w:fldChar w:fldCharType="begin"/>
      </w:r>
      <w:r>
        <w:instrText xml:space="preserve"> REF _Ref52213150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>
        <w:t xml:space="preserve"> constata-se que os pacientes que assinalaram apresentarem o sintoma de alfinetada e agulhada na região da dor, também responderam valores maiores para a interferência desta dor para o relacionamento com outras pessoas, como é observado na maior densidade de pontos, e no </w:t>
      </w:r>
      <w:proofErr w:type="spellStart"/>
      <w:r w:rsidRPr="00C64C20">
        <w:rPr>
          <w:i/>
          <w:iCs/>
        </w:rPr>
        <w:t>boxplot</w:t>
      </w:r>
      <w:proofErr w:type="spellEnd"/>
      <w:r w:rsidR="003D44F7">
        <w:t xml:space="preserve"> de cor azul, correspondente à</w:t>
      </w:r>
      <w:r>
        <w:t xml:space="preserve"> opção 1 da questão binária.  </w:t>
      </w:r>
    </w:p>
    <w:p w14:paraId="057636A7" w14:textId="4CFCC150" w:rsidR="00DA4C95" w:rsidRDefault="00DA4C95" w:rsidP="00A301B6">
      <w:pPr>
        <w:ind w:left="2"/>
      </w:pPr>
      <w:r>
        <w:t xml:space="preserve">Ressalta-se que apenas esta questão (2 – b – Alfinetada e agulhada) do Questionário para diagnóstico de Dor Neuropática apresentou um número superior a 30 pessoas que responderam sim ou não a questão. </w:t>
      </w:r>
      <w:r w:rsidR="005A6C9B">
        <w:t>As d</w:t>
      </w:r>
      <w:r w:rsidR="00DD451B">
        <w:t xml:space="preserve">emais questões do questionário DN4 não apresentaram significância estatística no coeficiente de correlação ponto </w:t>
      </w:r>
      <w:proofErr w:type="spellStart"/>
      <w:r w:rsidR="00DD451B">
        <w:t>bisserial</w:t>
      </w:r>
      <w:proofErr w:type="spellEnd"/>
      <w:r w:rsidR="00DD451B">
        <w:t xml:space="preserve"> ou apresentaram dados desbalanceados entre sim ou não, ou seja, </w:t>
      </w:r>
      <w:proofErr w:type="gramStart"/>
      <w:r w:rsidR="00DD451B">
        <w:t>uma proporção muito maior de pessoas responderam</w:t>
      </w:r>
      <w:proofErr w:type="gramEnd"/>
      <w:r w:rsidR="00DD451B">
        <w:t xml:space="preserve"> </w:t>
      </w:r>
      <w:r w:rsidR="00C02FDC">
        <w:t xml:space="preserve">a opção </w:t>
      </w:r>
      <w:r w:rsidR="00DD451B">
        <w:t xml:space="preserve">sim ou não em relação à outra </w:t>
      </w:r>
      <w:r w:rsidR="00C02FDC">
        <w:t>alternativa</w:t>
      </w:r>
      <w:r w:rsidR="00DD451B">
        <w:t xml:space="preserve">. </w:t>
      </w:r>
    </w:p>
    <w:p w14:paraId="09C8C5CE" w14:textId="77777777" w:rsidR="00AA25E6" w:rsidRDefault="00AA25E6" w:rsidP="00A301B6">
      <w:pPr>
        <w:ind w:left="2"/>
      </w:pPr>
    </w:p>
    <w:p w14:paraId="2DC9B1F8" w14:textId="3FB2CF56" w:rsidR="00247D39" w:rsidRDefault="00247D39" w:rsidP="00A301B6">
      <w:pPr>
        <w:pStyle w:val="Ttulo1"/>
        <w:numPr>
          <w:ilvl w:val="0"/>
          <w:numId w:val="1"/>
        </w:numPr>
        <w:ind w:left="182" w:hanging="166"/>
        <w:jc w:val="left"/>
      </w:pPr>
      <w:r>
        <w:lastRenderedPageBreak/>
        <w:t>Principais correlações entre as variáveis binárias dor nas costas, lombalgia</w:t>
      </w:r>
      <w:r w:rsidR="001854EB">
        <w:t xml:space="preserve">, dor nas pernas e estar ou não desempregado. </w:t>
      </w:r>
    </w:p>
    <w:p w14:paraId="5FB50CA4" w14:textId="63245502" w:rsidR="00F80269" w:rsidRDefault="00F80269" w:rsidP="00A301B6">
      <w:pPr>
        <w:pStyle w:val="PargrafodaLista"/>
        <w:ind w:left="1068" w:firstLine="0"/>
      </w:pPr>
    </w:p>
    <w:p w14:paraId="69D545CB" w14:textId="663CFED0" w:rsidR="002D2398" w:rsidRDefault="002D2398" w:rsidP="00A301B6">
      <w:pPr>
        <w:pStyle w:val="Legenda"/>
        <w:keepNext/>
        <w:ind w:left="2"/>
      </w:pPr>
      <w:bookmarkStart w:id="5" w:name="_Ref52208309"/>
      <w:r>
        <w:t xml:space="preserve">Figura </w:t>
      </w:r>
      <w:fldSimple w:instr=" SEQ Figura \* ARABIC ">
        <w:r w:rsidR="003F4E66">
          <w:rPr>
            <w:noProof/>
          </w:rPr>
          <w:t>4</w:t>
        </w:r>
      </w:fldSimple>
      <w:bookmarkEnd w:id="5"/>
      <w:r>
        <w:t xml:space="preserve"> - Principais correlações das variáveis binárias com lombalgia, dor nas costas, dor nas pernas e estar ou não desempregado</w:t>
      </w:r>
    </w:p>
    <w:p w14:paraId="0E28354F" w14:textId="35E37C20" w:rsidR="002D2398" w:rsidRDefault="002D2398" w:rsidP="00A301B6">
      <w:pPr>
        <w:pStyle w:val="Legenda"/>
        <w:keepNext/>
        <w:ind w:left="2"/>
        <w:jc w:val="both"/>
      </w:pPr>
    </w:p>
    <w:p w14:paraId="6A734675" w14:textId="6E872546" w:rsidR="00247D39" w:rsidRDefault="00247D39" w:rsidP="00A301B6">
      <w:pPr>
        <w:ind w:left="2" w:firstLine="0"/>
      </w:pPr>
      <w:r>
        <w:rPr>
          <w:noProof/>
          <w:lang w:eastAsia="ja-JP"/>
        </w:rPr>
        <w:drawing>
          <wp:inline distT="0" distB="0" distL="0" distR="0" wp14:anchorId="1B6BF107" wp14:editId="62DBED99">
            <wp:extent cx="5731510" cy="5731510"/>
            <wp:effectExtent l="0" t="0" r="254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DCF3" w14:textId="1470E500" w:rsidR="004F310A" w:rsidRDefault="004F310A" w:rsidP="00A301B6">
      <w:pPr>
        <w:ind w:left="2"/>
      </w:pPr>
      <w:r>
        <w:t xml:space="preserve">Na </w:t>
      </w:r>
      <w:r>
        <w:fldChar w:fldCharType="begin"/>
      </w:r>
      <w:r>
        <w:instrText xml:space="preserve"> REF _Ref52208309 \h </w:instrText>
      </w:r>
      <w:r w:rsidR="00BD5272">
        <w:instrText xml:space="preserve"> \* MERGEFORMAT </w:instrText>
      </w:r>
      <w:r>
        <w:fldChar w:fldCharType="separate"/>
      </w:r>
      <w:r w:rsidR="003F4E66">
        <w:t xml:space="preserve">Figura </w:t>
      </w:r>
      <w:r w:rsidR="003F4E66">
        <w:rPr>
          <w:noProof/>
        </w:rPr>
        <w:t>4</w:t>
      </w:r>
      <w:r>
        <w:fldChar w:fldCharType="end"/>
      </w:r>
      <w:r w:rsidR="003D44F7">
        <w:t>,</w:t>
      </w:r>
      <w:r>
        <w:t xml:space="preserve"> </w:t>
      </w:r>
      <w:r w:rsidR="003D44F7">
        <w:t>é possível visualizar quais</w:t>
      </w:r>
      <w:r>
        <w:t xml:space="preserve"> as questões mais correlacionadas com as variáveis lombalgia, dor nas pernas, dor nas costas e estar ou não desempregado. </w:t>
      </w:r>
      <w:r w:rsidR="007B20AC">
        <w:t xml:space="preserve">Nota-se que 65,57 % das pessoas que marcaram a opção de </w:t>
      </w:r>
      <w:r w:rsidR="003D44F7">
        <w:lastRenderedPageBreak/>
        <w:t>apresentar</w:t>
      </w:r>
      <w:r w:rsidR="007B20AC">
        <w:t xml:space="preserve"> dor na região lombar (lombalgia) também marcaram que possuem dor nas pernas. </w:t>
      </w:r>
    </w:p>
    <w:p w14:paraId="6AF7E1BE" w14:textId="1EE34B49" w:rsidR="00BD5272" w:rsidRDefault="00BD5272" w:rsidP="00A301B6">
      <w:pPr>
        <w:ind w:left="2"/>
      </w:pPr>
      <w:r>
        <w:t xml:space="preserve">Importante mencionar também que 63,93 % dos pacientes que apresentam dor nas pernas também </w:t>
      </w:r>
      <w:r w:rsidR="003941FF">
        <w:t>marcaram a opção no Questionário DN4 que a sua dor apresenta a característica de queimação (DN – queimação).</w:t>
      </w:r>
      <w:r w:rsidR="00692166">
        <w:t xml:space="preserve"> Nota-se também a alta porcentagem de pacientes que fazem uso de analgésico, sendo 84,38 % para aqueles que possuem dor nas pernas e 90 % para quem possui dor nas costas. </w:t>
      </w:r>
    </w:p>
    <w:p w14:paraId="10CBE1E0" w14:textId="0808C456" w:rsidR="0032363A" w:rsidRDefault="0032363A" w:rsidP="00A301B6">
      <w:pPr>
        <w:ind w:left="2"/>
      </w:pPr>
      <w:r>
        <w:t>Ressalta-se também que não houve nenhuma correlação maior que 60 e com nível de significância de 5% para a variável que considera se o paciente já realizou alguma cirurgia na coluna</w:t>
      </w:r>
    </w:p>
    <w:p w14:paraId="6EDAF27D" w14:textId="0FE0D956" w:rsidR="00B062B7" w:rsidRDefault="00247D39" w:rsidP="00B062B7">
      <w:pPr>
        <w:pStyle w:val="Ttulo1"/>
      </w:pPr>
      <w:r>
        <w:lastRenderedPageBreak/>
        <w:t xml:space="preserve">3) </w:t>
      </w:r>
      <w:r w:rsidR="00B062B7">
        <w:t xml:space="preserve">Principais correlações entre as </w:t>
      </w:r>
      <w:r w:rsidR="003F4E66">
        <w:t>questões</w:t>
      </w:r>
      <w:r w:rsidR="00B062B7">
        <w:t xml:space="preserve"> binárias dor nas costas, lombalgia</w:t>
      </w:r>
      <w:r w:rsidR="00113601">
        <w:t>,</w:t>
      </w:r>
      <w:r w:rsidR="00B062B7">
        <w:t xml:space="preserve"> dor nas perna</w:t>
      </w:r>
      <w:r w:rsidR="003F4E66">
        <w:t xml:space="preserve">s </w:t>
      </w:r>
      <w:r w:rsidR="0099599F">
        <w:t>e se realizou ou não cirurgia na coluna com</w:t>
      </w:r>
      <w:r w:rsidR="003F4E66">
        <w:t xml:space="preserve"> questões de caráter ordinal</w:t>
      </w:r>
      <w:r w:rsidR="00B062B7">
        <w:t>.</w:t>
      </w:r>
    </w:p>
    <w:p w14:paraId="663B2A86" w14:textId="3B677352" w:rsidR="00A1672A" w:rsidRDefault="00A1672A" w:rsidP="00A1672A">
      <w:pPr>
        <w:pStyle w:val="Legenda"/>
        <w:keepNext/>
      </w:pPr>
      <w:bookmarkStart w:id="6" w:name="_Ref52254943"/>
      <w:r>
        <w:t xml:space="preserve">Figura </w:t>
      </w:r>
      <w:fldSimple w:instr=" SEQ Figura \* ARABIC ">
        <w:r w:rsidR="003F4E66">
          <w:rPr>
            <w:noProof/>
          </w:rPr>
          <w:t>5</w:t>
        </w:r>
      </w:fldSimple>
      <w:bookmarkEnd w:id="6"/>
      <w:r>
        <w:t xml:space="preserve"> – Principais correlações entre as variáveis </w:t>
      </w:r>
      <w:r w:rsidRPr="000054E4">
        <w:t>binárias</w:t>
      </w:r>
      <w:r w:rsidR="00526007" w:rsidRPr="000054E4">
        <w:t xml:space="preserve"> cirurgia na coluna</w:t>
      </w:r>
      <w:r w:rsidR="00526007">
        <w:t>,</w:t>
      </w:r>
      <w:r>
        <w:t xml:space="preserve"> lombalgia, dor nas costas e dor nas pernas com variáveis de caráter ordinal</w:t>
      </w:r>
    </w:p>
    <w:p w14:paraId="469499A3" w14:textId="3FFFC4B0" w:rsidR="00C75B57" w:rsidRDefault="0099599F" w:rsidP="00A1672A">
      <w:pPr>
        <w:ind w:firstLine="0"/>
      </w:pPr>
      <w:r>
        <w:rPr>
          <w:noProof/>
          <w:lang w:eastAsia="ja-JP"/>
        </w:rPr>
        <w:drawing>
          <wp:inline distT="0" distB="0" distL="0" distR="0" wp14:anchorId="466BCCF3" wp14:editId="35AA269F">
            <wp:extent cx="5731510" cy="5253990"/>
            <wp:effectExtent l="0" t="0" r="254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5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EC8B" w14:textId="77777777" w:rsidR="00DB7BBB" w:rsidRDefault="00DB7BBB" w:rsidP="00A1672A">
      <w:pPr>
        <w:ind w:firstLine="0"/>
      </w:pPr>
    </w:p>
    <w:p w14:paraId="322E8061" w14:textId="5834D74C" w:rsidR="00526007" w:rsidRDefault="00DB7BBB" w:rsidP="00526007">
      <w:r w:rsidRPr="00B10B01">
        <w:t xml:space="preserve">Na </w:t>
      </w:r>
      <w:r w:rsidRPr="00B10B01">
        <w:fldChar w:fldCharType="begin"/>
      </w:r>
      <w:r w:rsidRPr="00B10B01">
        <w:instrText xml:space="preserve"> REF _Ref52254943 \h </w:instrText>
      </w:r>
      <w:r w:rsidR="00506FB3" w:rsidRPr="00B10B01">
        <w:instrText xml:space="preserve"> \* MERGEFORMAT </w:instrText>
      </w:r>
      <w:r w:rsidRPr="00B10B01">
        <w:fldChar w:fldCharType="separate"/>
      </w:r>
      <w:r w:rsidRPr="00B10B01">
        <w:t xml:space="preserve">Figura </w:t>
      </w:r>
      <w:r w:rsidRPr="00B10B01">
        <w:rPr>
          <w:noProof/>
        </w:rPr>
        <w:t>5</w:t>
      </w:r>
      <w:r w:rsidRPr="00B10B01">
        <w:fldChar w:fldCharType="end"/>
      </w:r>
      <w:r w:rsidRPr="00B10B01">
        <w:t xml:space="preserve">, </w:t>
      </w:r>
      <w:r w:rsidR="00526007" w:rsidRPr="00B10B01">
        <w:t xml:space="preserve">estão representadas as principais correlações entre as diferentes dores (Lombalgia, dor nas pernas e nas costas) </w:t>
      </w:r>
      <w:r w:rsidR="000553A7">
        <w:t xml:space="preserve">e se realizou ou não cirurgia na coluna </w:t>
      </w:r>
      <w:r w:rsidR="00526007" w:rsidRPr="00B10B01">
        <w:t>com as variáveis de caráter ordinal. A car</w:t>
      </w:r>
      <w:r w:rsidR="008974DB" w:rsidRPr="00B10B01">
        <w:t>a</w:t>
      </w:r>
      <w:r w:rsidR="00526007" w:rsidRPr="00B10B01">
        <w:t xml:space="preserve">cterística de Dor nas Costas apresentou uma correlação muito forte (98,04%) com a variável de Intensidade da Dor no Momento. </w:t>
      </w:r>
      <w:r w:rsidR="008974DB" w:rsidRPr="00B10B01">
        <w:t xml:space="preserve">Enquanto para a Dor nas Pernas, a variável mais correlacionada é o Tempo com a Dor que irradia das costas para as pernas. Para a </w:t>
      </w:r>
      <w:r w:rsidR="008974DB" w:rsidRPr="00B10B01">
        <w:lastRenderedPageBreak/>
        <w:t xml:space="preserve">Lombalgia, nenhuma variável apresentou correlação maior que 57% para o nível de significância de 5%. </w:t>
      </w:r>
    </w:p>
    <w:p w14:paraId="1CAE6997" w14:textId="77777777" w:rsidR="00DB7BBB" w:rsidRDefault="00DB7BBB" w:rsidP="00A1672A">
      <w:pPr>
        <w:ind w:firstLine="0"/>
      </w:pPr>
    </w:p>
    <w:sectPr w:rsidR="00DB7BBB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050A0"/>
    <w:multiLevelType w:val="hybridMultilevel"/>
    <w:tmpl w:val="32508450"/>
    <w:lvl w:ilvl="0" w:tplc="CDB072A8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" w15:restartNumberingAfterBreak="0">
    <w:nsid w:val="48616765"/>
    <w:multiLevelType w:val="hybridMultilevel"/>
    <w:tmpl w:val="6B121448"/>
    <w:lvl w:ilvl="0" w:tplc="A1884C2A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68B7116C"/>
    <w:multiLevelType w:val="multilevel"/>
    <w:tmpl w:val="FA54FF38"/>
    <w:lvl w:ilvl="0">
      <w:start w:val="1"/>
      <w:numFmt w:val="decimal"/>
      <w:lvlText w:val="%1.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264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102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08" w:hanging="2160"/>
      </w:pPr>
      <w:rPr>
        <w:rFonts w:hint="default"/>
      </w:rPr>
    </w:lvl>
  </w:abstractNum>
  <w:abstractNum w:abstractNumId="3" w15:restartNumberingAfterBreak="0">
    <w:nsid w:val="78AE0011"/>
    <w:multiLevelType w:val="hybridMultilevel"/>
    <w:tmpl w:val="5A40E61C"/>
    <w:lvl w:ilvl="0" w:tplc="82BAAE62">
      <w:start w:val="1"/>
      <w:numFmt w:val="decimal"/>
      <w:lvlText w:val="%1)"/>
      <w:lvlJc w:val="left"/>
      <w:pPr>
        <w:ind w:left="10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6" w:hanging="360"/>
      </w:pPr>
    </w:lvl>
    <w:lvl w:ilvl="2" w:tplc="0416001B" w:tentative="1">
      <w:start w:val="1"/>
      <w:numFmt w:val="lowerRoman"/>
      <w:lvlText w:val="%3."/>
      <w:lvlJc w:val="right"/>
      <w:pPr>
        <w:ind w:left="2506" w:hanging="180"/>
      </w:pPr>
    </w:lvl>
    <w:lvl w:ilvl="3" w:tplc="0416000F" w:tentative="1">
      <w:start w:val="1"/>
      <w:numFmt w:val="decimal"/>
      <w:lvlText w:val="%4."/>
      <w:lvlJc w:val="left"/>
      <w:pPr>
        <w:ind w:left="3226" w:hanging="360"/>
      </w:pPr>
    </w:lvl>
    <w:lvl w:ilvl="4" w:tplc="04160019" w:tentative="1">
      <w:start w:val="1"/>
      <w:numFmt w:val="lowerLetter"/>
      <w:lvlText w:val="%5."/>
      <w:lvlJc w:val="left"/>
      <w:pPr>
        <w:ind w:left="3946" w:hanging="360"/>
      </w:pPr>
    </w:lvl>
    <w:lvl w:ilvl="5" w:tplc="0416001B" w:tentative="1">
      <w:start w:val="1"/>
      <w:numFmt w:val="lowerRoman"/>
      <w:lvlText w:val="%6."/>
      <w:lvlJc w:val="right"/>
      <w:pPr>
        <w:ind w:left="4666" w:hanging="180"/>
      </w:pPr>
    </w:lvl>
    <w:lvl w:ilvl="6" w:tplc="0416000F" w:tentative="1">
      <w:start w:val="1"/>
      <w:numFmt w:val="decimal"/>
      <w:lvlText w:val="%7."/>
      <w:lvlJc w:val="left"/>
      <w:pPr>
        <w:ind w:left="5386" w:hanging="360"/>
      </w:pPr>
    </w:lvl>
    <w:lvl w:ilvl="7" w:tplc="04160019" w:tentative="1">
      <w:start w:val="1"/>
      <w:numFmt w:val="lowerLetter"/>
      <w:lvlText w:val="%8."/>
      <w:lvlJc w:val="left"/>
      <w:pPr>
        <w:ind w:left="6106" w:hanging="360"/>
      </w:pPr>
    </w:lvl>
    <w:lvl w:ilvl="8" w:tplc="0416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5D10"/>
    <w:rsid w:val="0000131D"/>
    <w:rsid w:val="000054E4"/>
    <w:rsid w:val="00006710"/>
    <w:rsid w:val="00024768"/>
    <w:rsid w:val="000448D0"/>
    <w:rsid w:val="000510CB"/>
    <w:rsid w:val="00052061"/>
    <w:rsid w:val="00054683"/>
    <w:rsid w:val="000553A7"/>
    <w:rsid w:val="000634C1"/>
    <w:rsid w:val="00097F2F"/>
    <w:rsid w:val="000B0722"/>
    <w:rsid w:val="000F4EE1"/>
    <w:rsid w:val="00113601"/>
    <w:rsid w:val="00121994"/>
    <w:rsid w:val="00122232"/>
    <w:rsid w:val="0013710F"/>
    <w:rsid w:val="00141CF4"/>
    <w:rsid w:val="001854EB"/>
    <w:rsid w:val="0019175F"/>
    <w:rsid w:val="001A4AF3"/>
    <w:rsid w:val="001A5375"/>
    <w:rsid w:val="001D5DC4"/>
    <w:rsid w:val="001E42A2"/>
    <w:rsid w:val="001E42C8"/>
    <w:rsid w:val="002064CD"/>
    <w:rsid w:val="00206B24"/>
    <w:rsid w:val="00212F61"/>
    <w:rsid w:val="0022015B"/>
    <w:rsid w:val="00221CCA"/>
    <w:rsid w:val="00247D39"/>
    <w:rsid w:val="00255F32"/>
    <w:rsid w:val="0026552F"/>
    <w:rsid w:val="002D2398"/>
    <w:rsid w:val="002D75B3"/>
    <w:rsid w:val="002E0CFF"/>
    <w:rsid w:val="002F5288"/>
    <w:rsid w:val="0032363A"/>
    <w:rsid w:val="003303C2"/>
    <w:rsid w:val="00337511"/>
    <w:rsid w:val="00377DAD"/>
    <w:rsid w:val="00377E6B"/>
    <w:rsid w:val="00385CB1"/>
    <w:rsid w:val="003941FF"/>
    <w:rsid w:val="003D44F7"/>
    <w:rsid w:val="003D733B"/>
    <w:rsid w:val="003F4E66"/>
    <w:rsid w:val="00412A75"/>
    <w:rsid w:val="004134F0"/>
    <w:rsid w:val="004211F1"/>
    <w:rsid w:val="00421B8F"/>
    <w:rsid w:val="0042779A"/>
    <w:rsid w:val="00447F43"/>
    <w:rsid w:val="004558DC"/>
    <w:rsid w:val="004B31CB"/>
    <w:rsid w:val="004F310A"/>
    <w:rsid w:val="004F6492"/>
    <w:rsid w:val="00500CC1"/>
    <w:rsid w:val="00506FB3"/>
    <w:rsid w:val="00521131"/>
    <w:rsid w:val="00524015"/>
    <w:rsid w:val="00526007"/>
    <w:rsid w:val="005319EF"/>
    <w:rsid w:val="00544587"/>
    <w:rsid w:val="005A01EB"/>
    <w:rsid w:val="005A6C9B"/>
    <w:rsid w:val="005B1428"/>
    <w:rsid w:val="005D0576"/>
    <w:rsid w:val="005F2B86"/>
    <w:rsid w:val="0060257E"/>
    <w:rsid w:val="0061751B"/>
    <w:rsid w:val="0064239A"/>
    <w:rsid w:val="0065108F"/>
    <w:rsid w:val="00666720"/>
    <w:rsid w:val="0067452B"/>
    <w:rsid w:val="00690ACA"/>
    <w:rsid w:val="00692166"/>
    <w:rsid w:val="006B56A9"/>
    <w:rsid w:val="006B56E7"/>
    <w:rsid w:val="006E586B"/>
    <w:rsid w:val="007A70C0"/>
    <w:rsid w:val="007B20AC"/>
    <w:rsid w:val="007B71C5"/>
    <w:rsid w:val="007F4B82"/>
    <w:rsid w:val="00810A44"/>
    <w:rsid w:val="00814EC1"/>
    <w:rsid w:val="008304BF"/>
    <w:rsid w:val="00831B62"/>
    <w:rsid w:val="00832C32"/>
    <w:rsid w:val="00843B06"/>
    <w:rsid w:val="00864333"/>
    <w:rsid w:val="00893ABD"/>
    <w:rsid w:val="00894620"/>
    <w:rsid w:val="008974DB"/>
    <w:rsid w:val="008B711C"/>
    <w:rsid w:val="008F0421"/>
    <w:rsid w:val="00903F0E"/>
    <w:rsid w:val="00906507"/>
    <w:rsid w:val="009072F9"/>
    <w:rsid w:val="00974C09"/>
    <w:rsid w:val="00982706"/>
    <w:rsid w:val="00987CEF"/>
    <w:rsid w:val="0099599F"/>
    <w:rsid w:val="00A101D3"/>
    <w:rsid w:val="00A146FF"/>
    <w:rsid w:val="00A1672A"/>
    <w:rsid w:val="00A301B6"/>
    <w:rsid w:val="00A41928"/>
    <w:rsid w:val="00A41FE0"/>
    <w:rsid w:val="00AA25E6"/>
    <w:rsid w:val="00AA52CF"/>
    <w:rsid w:val="00AB1BE1"/>
    <w:rsid w:val="00AD05A1"/>
    <w:rsid w:val="00AD6175"/>
    <w:rsid w:val="00AE00E5"/>
    <w:rsid w:val="00AF4715"/>
    <w:rsid w:val="00B062B7"/>
    <w:rsid w:val="00B10B01"/>
    <w:rsid w:val="00B20022"/>
    <w:rsid w:val="00B319A2"/>
    <w:rsid w:val="00B35D10"/>
    <w:rsid w:val="00B46BC6"/>
    <w:rsid w:val="00B90378"/>
    <w:rsid w:val="00BB6CE8"/>
    <w:rsid w:val="00BC646D"/>
    <w:rsid w:val="00BD3DA8"/>
    <w:rsid w:val="00BD5272"/>
    <w:rsid w:val="00C02311"/>
    <w:rsid w:val="00C02FDC"/>
    <w:rsid w:val="00C23355"/>
    <w:rsid w:val="00C33407"/>
    <w:rsid w:val="00C51364"/>
    <w:rsid w:val="00C62775"/>
    <w:rsid w:val="00C64C20"/>
    <w:rsid w:val="00C75B57"/>
    <w:rsid w:val="00CE5E32"/>
    <w:rsid w:val="00D03888"/>
    <w:rsid w:val="00D452DD"/>
    <w:rsid w:val="00D51C3B"/>
    <w:rsid w:val="00DA4C95"/>
    <w:rsid w:val="00DA6D48"/>
    <w:rsid w:val="00DB63DE"/>
    <w:rsid w:val="00DB7BBB"/>
    <w:rsid w:val="00DD451B"/>
    <w:rsid w:val="00E139A6"/>
    <w:rsid w:val="00E852F4"/>
    <w:rsid w:val="00E943E5"/>
    <w:rsid w:val="00EA61BC"/>
    <w:rsid w:val="00EA6609"/>
    <w:rsid w:val="00EE361F"/>
    <w:rsid w:val="00EE4995"/>
    <w:rsid w:val="00F37798"/>
    <w:rsid w:val="00F615EB"/>
    <w:rsid w:val="00F63E59"/>
    <w:rsid w:val="00F80269"/>
    <w:rsid w:val="00F86B95"/>
    <w:rsid w:val="00FA7B7A"/>
    <w:rsid w:val="00FE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FB9E5"/>
  <w15:docId w15:val="{F5183D5D-ECF7-4089-B617-7DD0C23C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333"/>
    <w:pPr>
      <w:spacing w:line="360" w:lineRule="auto"/>
      <w:ind w:firstLine="706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B6CE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270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987CEF"/>
    <w:pPr>
      <w:spacing w:after="200" w:line="240" w:lineRule="auto"/>
      <w:jc w:val="center"/>
    </w:pPr>
    <w:rPr>
      <w:iCs/>
      <w:sz w:val="22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B6CE8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2706"/>
    <w:rPr>
      <w:rFonts w:ascii="Arial" w:eastAsiaTheme="majorEastAsia" w:hAnsi="Arial" w:cstheme="majorBidi"/>
      <w:sz w:val="28"/>
      <w:szCs w:val="26"/>
    </w:rPr>
  </w:style>
  <w:style w:type="paragraph" w:styleId="PargrafodaLista">
    <w:name w:val="List Paragraph"/>
    <w:basedOn w:val="Normal"/>
    <w:uiPriority w:val="34"/>
    <w:qFormat/>
    <w:rsid w:val="00F80269"/>
    <w:pPr>
      <w:ind w:left="720"/>
      <w:contextualSpacing/>
    </w:pPr>
  </w:style>
  <w:style w:type="table" w:styleId="Tabelacomgrade">
    <w:name w:val="Table Grid"/>
    <w:basedOn w:val="Tabelanormal"/>
    <w:uiPriority w:val="39"/>
    <w:rsid w:val="002E0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62775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4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iff"/><Relationship Id="rId4" Type="http://schemas.openxmlformats.org/officeDocument/2006/relationships/settings" Target="settings.xml"/><Relationship Id="rId9" Type="http://schemas.openxmlformats.org/officeDocument/2006/relationships/image" Target="media/image4.tif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DE23-1E05-43A9-8372-2959024C2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10</Pages>
  <Words>1215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145</cp:revision>
  <dcterms:created xsi:type="dcterms:W3CDTF">2020-09-21T13:49:00Z</dcterms:created>
  <dcterms:modified xsi:type="dcterms:W3CDTF">2020-10-04T23:27:00Z</dcterms:modified>
</cp:coreProperties>
</file>