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FBE2" w14:textId="77777777" w:rsidR="006D186F" w:rsidRPr="00486788" w:rsidRDefault="006D186F" w:rsidP="006D186F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B241B63" w14:textId="77777777" w:rsidR="006D186F" w:rsidRPr="00486788" w:rsidRDefault="006D186F" w:rsidP="006D186F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486788">
        <w:rPr>
          <w:rFonts w:ascii="Arial" w:hAnsi="Arial"/>
          <w:sz w:val="24"/>
          <w:szCs w:val="24"/>
          <w:lang w:val="pt-BR"/>
        </w:rPr>
        <w:t xml:space="preserve">Título: Modelo de </w:t>
      </w:r>
      <w:proofErr w:type="spellStart"/>
      <w:r w:rsidRPr="00486788">
        <w:rPr>
          <w:rFonts w:ascii="Arial" w:hAnsi="Arial"/>
          <w:i/>
          <w:iCs/>
          <w:sz w:val="24"/>
          <w:szCs w:val="24"/>
          <w:lang w:val="pt-BR"/>
        </w:rPr>
        <w:t>Machine</w:t>
      </w:r>
      <w:proofErr w:type="spellEnd"/>
      <w:r w:rsidRPr="00486788">
        <w:rPr>
          <w:rFonts w:ascii="Arial" w:hAnsi="Arial"/>
          <w:i/>
          <w:iCs/>
          <w:sz w:val="24"/>
          <w:szCs w:val="24"/>
          <w:lang w:val="pt-BR"/>
        </w:rPr>
        <w:t xml:space="preserve"> Learning</w:t>
      </w:r>
      <w:r w:rsidRPr="00486788">
        <w:rPr>
          <w:rFonts w:ascii="Arial" w:hAnsi="Arial"/>
          <w:sz w:val="24"/>
          <w:szCs w:val="24"/>
          <w:lang w:val="pt-BR"/>
        </w:rPr>
        <w:t xml:space="preserve"> para predizer alocação de pacientes com lombalgia crônica para unidades de práticas integradas em um sistema de cuidados de saúde baseados em valor.</w:t>
      </w:r>
    </w:p>
    <w:p w14:paraId="7BAB85CD" w14:textId="77777777" w:rsidR="006D186F" w:rsidRDefault="006D186F" w:rsidP="006D186F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</w:pPr>
    </w:p>
    <w:p w14:paraId="188C4D6F" w14:textId="5F80CE60" w:rsidR="006D186F" w:rsidRPr="00486788" w:rsidRDefault="006D186F" w:rsidP="006D186F">
      <w:pPr>
        <w:rPr>
          <w:u w:color="212121"/>
          <w:shd w:val="clear" w:color="auto" w:fill="FFFFFF"/>
        </w:rPr>
      </w:pPr>
      <w:r>
        <w:rPr>
          <w:u w:color="0000FF"/>
          <w:shd w:val="clear" w:color="auto" w:fill="FFFFFF"/>
        </w:rPr>
        <w:tab/>
      </w:r>
      <w:r w:rsidRPr="006D186F">
        <w:rPr>
          <w:u w:color="0000FF"/>
          <w:shd w:val="clear" w:color="auto" w:fill="FFFFFF"/>
        </w:rPr>
        <w:t>A complexidade de opções diagnósticas e terapêuticas disponíveis para área de cirurgia neurológica é evidente no início do século XXI. Da mesma forma, também é variado o espectro de resultados possíveis porque existem muitas dimensões de interpretação. Ainda influenciados pelo contexto social, pacientes e médicos estão</w:t>
      </w:r>
      <w:r w:rsidRPr="00486788">
        <w:rPr>
          <w:u w:color="0000FF"/>
          <w:shd w:val="clear" w:color="auto" w:fill="FFFFFF"/>
        </w:rPr>
        <w:t xml:space="preserve"> sobrecarregados com informações da era digital</w:t>
      </w:r>
      <w:r>
        <w:rPr>
          <w:u w:color="0000FF"/>
          <w:shd w:val="clear" w:color="auto" w:fill="FFFFFF"/>
        </w:rPr>
        <w:t xml:space="preserve"> e deste modo, a</w:t>
      </w:r>
      <w:r w:rsidRPr="00486788">
        <w:rPr>
          <w:u w:color="0000FF"/>
          <w:shd w:val="clear" w:color="auto" w:fill="FFFFFF"/>
        </w:rPr>
        <w:t xml:space="preserve"> tomada de decisão hoje é cardinal e crítica. O recurso contemporâneo para essa demanda desafiante é a aplicação das tecnologias de sistemas de gestão da informação como a inteligência artificial.</w:t>
      </w:r>
    </w:p>
    <w:p w14:paraId="201F015E" w14:textId="4B3828CF" w:rsidR="006D186F" w:rsidRPr="006D186F" w:rsidRDefault="006D186F" w:rsidP="006D186F">
      <w:pPr>
        <w:rPr>
          <w:u w:color="212121"/>
          <w:shd w:val="clear" w:color="auto" w:fill="FFFFFF"/>
        </w:rPr>
      </w:pPr>
      <w:r w:rsidRPr="00486788">
        <w:rPr>
          <w:u w:color="0000FF"/>
          <w:shd w:val="clear" w:color="auto" w:fill="FFFFFF"/>
        </w:rPr>
        <w:tab/>
        <w:t>Simplificar a complexidade não é uma solução</w:t>
      </w:r>
      <w:r>
        <w:rPr>
          <w:u w:color="0000FF"/>
          <w:shd w:val="clear" w:color="auto" w:fill="FFFFFF"/>
        </w:rPr>
        <w:t>, portanto, a</w:t>
      </w:r>
      <w:r w:rsidRPr="00486788">
        <w:rPr>
          <w:u w:color="0000FF"/>
          <w:shd w:val="clear" w:color="auto" w:fill="FFFFFF"/>
        </w:rPr>
        <w:t xml:space="preserve"> </w:t>
      </w:r>
      <w:r>
        <w:rPr>
          <w:u w:color="0000FF"/>
          <w:shd w:val="clear" w:color="auto" w:fill="FFFFFF"/>
        </w:rPr>
        <w:t>c</w:t>
      </w:r>
      <w:r w:rsidRPr="00486788">
        <w:rPr>
          <w:u w:color="0000FF"/>
          <w:shd w:val="clear" w:color="auto" w:fill="FFFFFF"/>
        </w:rPr>
        <w:t xml:space="preserve">iência aplicada aos dados, compreendida como conhecimento humano agregado </w:t>
      </w:r>
      <w:r>
        <w:rPr>
          <w:u w:color="0000FF"/>
          <w:shd w:val="clear" w:color="auto" w:fill="FFFFFF"/>
        </w:rPr>
        <w:t>à</w:t>
      </w:r>
      <w:r w:rsidRPr="00486788">
        <w:rPr>
          <w:u w:color="0000FF"/>
          <w:shd w:val="clear" w:color="auto" w:fill="FFFFFF"/>
        </w:rPr>
        <w:t>s tecnologias digitais é a melhor alternativa disponível para tomada de decisão na área de cirurgia neurológica.</w:t>
      </w:r>
      <w:r>
        <w:rPr>
          <w:u w:color="212121"/>
          <w:shd w:val="clear" w:color="auto" w:fill="FFFFFF"/>
        </w:rPr>
        <w:t xml:space="preserve"> </w:t>
      </w:r>
      <w:r w:rsidRPr="00486788">
        <w:rPr>
          <w:u w:color="0000FF"/>
          <w:shd w:val="clear" w:color="auto" w:fill="FFFFFF"/>
        </w:rPr>
        <w:t>Discutir opções baseadas em dados é uma decisão mais importante que uma incisão.</w:t>
      </w:r>
    </w:p>
    <w:p w14:paraId="04A9AAC2" w14:textId="507E4D84" w:rsidR="006D186F" w:rsidRPr="00486788" w:rsidRDefault="006D186F" w:rsidP="005D35D6">
      <w:r w:rsidRPr="00486788">
        <w:t>A lombalgia crônica é responsável por grande parte dos custos globais de saúde necessitando cuidados especializados por longo tempo. A imensa variabilidade de pacientes em seus itinerários terapêuticos entre hospitais e provedores torna os cuidados de saúde baseados em valor potencialmente menos viáveis. Para avançar mais efetivamente na gestão e nos esforços de prevenção secundária, terciária e quaternária</w:t>
      </w:r>
      <w:r>
        <w:t>,</w:t>
      </w:r>
      <w:r w:rsidRPr="00486788">
        <w:t xml:space="preserve"> a adoção de ferramentas, </w:t>
      </w:r>
      <w:r w:rsidRPr="00336AA9">
        <w:rPr>
          <w:highlight w:val="yellow"/>
        </w:rPr>
        <w:t>métodos e técnicas de ciência de dados como análises de correlação e aplicação de algoritmos de aprendizado de máquina supervisionado e não supervisionado é urgente</w:t>
      </w:r>
      <w:r>
        <w:t xml:space="preserve">. Estes modelos </w:t>
      </w:r>
      <w:r w:rsidRPr="00486788">
        <w:t>têm se mostrado confiáveis na previsão de resultados específicos em várias doenças neurológicas</w:t>
      </w:r>
      <w:r>
        <w:t>,</w:t>
      </w:r>
      <w:r w:rsidRPr="00486788">
        <w:t xml:space="preserve"> </w:t>
      </w:r>
      <w:r>
        <w:t>entretanto,</w:t>
      </w:r>
      <w:r w:rsidRPr="00486788">
        <w:t xml:space="preserve"> </w:t>
      </w:r>
      <w:proofErr w:type="gramStart"/>
      <w:r w:rsidRPr="00486788">
        <w:t xml:space="preserve">o desenvolvimento de estratégias de gerenciamento </w:t>
      </w:r>
      <w:r w:rsidRPr="00486788">
        <w:rPr>
          <w:highlight w:val="cyan"/>
        </w:rPr>
        <w:t>das unidades de prática integrada</w:t>
      </w:r>
      <w:r w:rsidRPr="00486788">
        <w:t xml:space="preserve"> ainda não fo</w:t>
      </w:r>
      <w:r>
        <w:t>ram</w:t>
      </w:r>
      <w:proofErr w:type="gramEnd"/>
      <w:r w:rsidRPr="00486788">
        <w:t xml:space="preserve"> testad</w:t>
      </w:r>
      <w:r>
        <w:t>as</w:t>
      </w:r>
      <w:r w:rsidRPr="00486788">
        <w:t xml:space="preserve"> com auxílio da ciência de dados.</w:t>
      </w:r>
    </w:p>
    <w:p w14:paraId="36A6E51D" w14:textId="23715C74" w:rsidR="006D186F" w:rsidRDefault="006D186F" w:rsidP="006D186F">
      <w:r>
        <w:t xml:space="preserve">Modelos de aprendizado de máquina supervisionados para classificação </w:t>
      </w:r>
      <w:r w:rsidRPr="00486788">
        <w:t>pode</w:t>
      </w:r>
      <w:r>
        <w:t>m</w:t>
      </w:r>
      <w:r w:rsidRPr="00486788">
        <w:t xml:space="preserve"> prever com precisão os desfechos de pacientes consultados, como dor lombar ou dor ciática, tratamento não-cirúrgico ou cirúrgico, afastado do trabalho ou </w:t>
      </w:r>
      <w:r w:rsidRPr="00486788">
        <w:lastRenderedPageBreak/>
        <w:t>trabalhando</w:t>
      </w:r>
      <w:r w:rsidR="005D35D6">
        <w:t>.</w:t>
      </w:r>
      <w:r w:rsidRPr="00486788">
        <w:t xml:space="preserve"> Es</w:t>
      </w:r>
      <w:r w:rsidR="005D35D6">
        <w:t>tes</w:t>
      </w:r>
      <w:r w:rsidRPr="00486788">
        <w:t xml:space="preserve"> modelo</w:t>
      </w:r>
      <w:r w:rsidR="005D35D6">
        <w:t>s</w:t>
      </w:r>
      <w:r w:rsidRPr="00486788">
        <w:t xml:space="preserve"> pode</w:t>
      </w:r>
      <w:r w:rsidR="0087579E">
        <w:t>m</w:t>
      </w:r>
      <w:r w:rsidRPr="00486788">
        <w:t xml:space="preserve"> então ser</w:t>
      </w:r>
      <w:r w:rsidR="005D35D6">
        <w:t>em utilizados</w:t>
      </w:r>
      <w:r w:rsidRPr="00486788">
        <w:t xml:space="preserve"> para desenvolver</w:t>
      </w:r>
      <w:r w:rsidR="005D35D6">
        <w:t>em</w:t>
      </w:r>
      <w:r w:rsidRPr="00486788">
        <w:t xml:space="preserve"> estratégia</w:t>
      </w:r>
      <w:r w:rsidR="005D35D6">
        <w:t>s</w:t>
      </w:r>
      <w:r w:rsidRPr="00486788">
        <w:t xml:space="preserve"> de alocação de pacientes para unidades de prática integradas estratificando-os por risco</w:t>
      </w:r>
      <w:r w:rsidR="005D35D6">
        <w:t xml:space="preserve">. </w:t>
      </w:r>
      <w:r w:rsidRPr="00486788">
        <w:t>O</w:t>
      </w:r>
      <w:r w:rsidR="005D35D6">
        <w:t>s</w:t>
      </w:r>
      <w:r w:rsidRPr="00486788">
        <w:t xml:space="preserve"> modelo</w:t>
      </w:r>
      <w:r w:rsidR="005D35D6">
        <w:t>s</w:t>
      </w:r>
      <w:r w:rsidRPr="00486788">
        <w:t xml:space="preserve"> pode</w:t>
      </w:r>
      <w:r w:rsidR="005D35D6">
        <w:t>m</w:t>
      </w:r>
      <w:r w:rsidRPr="00486788">
        <w:t xml:space="preserve"> servir para direcionamento em larga escala de atendimentos de telemedicina, alcançando os objetivos dos cuidados de saúde baseados em valor</w:t>
      </w:r>
      <w:r w:rsidR="005D35D6">
        <w:t>.</w:t>
      </w:r>
    </w:p>
    <w:p w14:paraId="3287FC20" w14:textId="6E99B558" w:rsidR="006D186F" w:rsidRPr="00486788" w:rsidRDefault="0087579E" w:rsidP="006D186F">
      <w:r>
        <w:t>Na amostra disponível f</w:t>
      </w:r>
      <w:r w:rsidR="006D186F" w:rsidRPr="00486788">
        <w:t xml:space="preserve">oram incluídos 240 pacientes submetidos a avaliação clínica em uma unidade de cuidados integrados multidisciplinares especializados em dor crônica de fevereiro a dezembro de 2019. Os dados coletados foram </w:t>
      </w:r>
      <w:proofErr w:type="spellStart"/>
      <w:r w:rsidR="006D186F" w:rsidRPr="00486788">
        <w:t>sócio-demográficos</w:t>
      </w:r>
      <w:proofErr w:type="spellEnd"/>
      <w:r w:rsidR="006D186F" w:rsidRPr="00486788">
        <w:t xml:space="preserve"> e clínicos, questionário básico de sintomas da coluna vertebral (Protocolo de Gotemburgo), Inventário Breve de Dor (BPI), Índice </w:t>
      </w:r>
      <w:proofErr w:type="spellStart"/>
      <w:r w:rsidR="006D186F" w:rsidRPr="00486788">
        <w:t>Oswestry</w:t>
      </w:r>
      <w:proofErr w:type="spellEnd"/>
      <w:r w:rsidR="006D186F" w:rsidRPr="00486788">
        <w:t xml:space="preserve"> 2.0 de Incapacidade, Questionário de Incapacidade de Roland Morris (RMDQ), Questionário para avaliação da qualidade de vida 12-Item Short </w:t>
      </w:r>
      <w:proofErr w:type="spellStart"/>
      <w:r w:rsidR="006D186F" w:rsidRPr="00486788">
        <w:t>Form</w:t>
      </w:r>
      <w:proofErr w:type="spellEnd"/>
      <w:r w:rsidR="006D186F" w:rsidRPr="00486788">
        <w:t xml:space="preserve"> Health Survey (SF-12) e Questionário para Diagnóstico de Dor Neuropática 4 (DN-4).</w:t>
      </w:r>
    </w:p>
    <w:p w14:paraId="7C55DA6E" w14:textId="399DA4F6" w:rsidR="006D186F" w:rsidRDefault="0087579E" w:rsidP="006D186F">
      <w:r>
        <w:t>Os</w:t>
      </w:r>
      <w:r w:rsidR="006D186F" w:rsidRPr="00486788">
        <w:t xml:space="preserve"> resultados de utilização de serviços previstos incluíram dor lombar ou </w:t>
      </w:r>
      <w:r w:rsidR="006D186F" w:rsidRPr="004D1788">
        <w:rPr>
          <w:highlight w:val="green"/>
        </w:rPr>
        <w:t>dor ciática</w:t>
      </w:r>
      <w:r w:rsidR="006D186F" w:rsidRPr="00486788">
        <w:t xml:space="preserve">, tratamento não-cirúrgico ou cirúrgico, afastado do trabalho ou trabalhando. </w:t>
      </w:r>
      <w:r w:rsidR="006D186F">
        <w:t xml:space="preserve">Para o treinamento </w:t>
      </w:r>
      <w:r w:rsidR="006D186F" w:rsidRPr="00486788">
        <w:t xml:space="preserve">do modelo </w:t>
      </w:r>
      <w:r>
        <w:t>faz-se uso d</w:t>
      </w:r>
      <w:r w:rsidR="006D186F">
        <w:t>a técnica de validação cruzada e posteriormente a</w:t>
      </w:r>
      <w:r>
        <w:t>valiação</w:t>
      </w:r>
      <w:r w:rsidR="006D186F">
        <w:t xml:space="preserve"> das seguintes métricas de classificação: ROC (característica de operação do receptor), AUC (área sob a curva), </w:t>
      </w:r>
      <w:proofErr w:type="spellStart"/>
      <w:r w:rsidR="006D186F" w:rsidRPr="004670A6">
        <w:rPr>
          <w:i/>
          <w:iCs/>
        </w:rPr>
        <w:t>Precision</w:t>
      </w:r>
      <w:proofErr w:type="spellEnd"/>
      <w:r w:rsidR="006D186F" w:rsidRPr="004670A6">
        <w:rPr>
          <w:i/>
          <w:iCs/>
        </w:rPr>
        <w:t>-Recall</w:t>
      </w:r>
      <w:r w:rsidR="006D186F">
        <w:t>, acurácia e F1-Score.</w:t>
      </w:r>
    </w:p>
    <w:p w14:paraId="6FCE36AC" w14:textId="77777777" w:rsidR="00352922" w:rsidRPr="00352922" w:rsidRDefault="00352922" w:rsidP="006D186F">
      <w:pPr>
        <w:rPr>
          <w:u w:color="0000FF"/>
          <w:shd w:val="clear" w:color="auto" w:fill="FFFFFF"/>
          <w:lang w:val="en-US"/>
        </w:rPr>
      </w:pPr>
    </w:p>
    <w:p w14:paraId="69F66C14" w14:textId="77777777" w:rsidR="000F5B4F" w:rsidRPr="00352922" w:rsidRDefault="000F5B4F" w:rsidP="006D186F">
      <w:pPr>
        <w:rPr>
          <w:lang w:val="en-US"/>
        </w:rPr>
      </w:pPr>
    </w:p>
    <w:sectPr w:rsidR="000F5B4F" w:rsidRPr="00352922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6F"/>
    <w:rsid w:val="000F5B4F"/>
    <w:rsid w:val="00294629"/>
    <w:rsid w:val="00344498"/>
    <w:rsid w:val="00352922"/>
    <w:rsid w:val="005D35D6"/>
    <w:rsid w:val="0065108F"/>
    <w:rsid w:val="006D186F"/>
    <w:rsid w:val="0087579E"/>
    <w:rsid w:val="00981CB6"/>
    <w:rsid w:val="00EA1952"/>
    <w:rsid w:val="00ED2389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AF37"/>
  <w15:chartTrackingRefBased/>
  <w15:docId w15:val="{E31BA385-2DD0-4774-88F1-59C5D2B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D6"/>
    <w:pPr>
      <w:spacing w:line="360" w:lineRule="auto"/>
      <w:ind w:firstLine="706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D18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7</cp:revision>
  <dcterms:created xsi:type="dcterms:W3CDTF">2020-09-21T22:48:00Z</dcterms:created>
  <dcterms:modified xsi:type="dcterms:W3CDTF">2020-09-23T01:18:00Z</dcterms:modified>
</cp:coreProperties>
</file>