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Cadastrar Empréstimo.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o empréstimo no sistema. Controla quais empréstimos estão ativos e mostra quais estão além do prazo de devolução.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é 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Devem existir clientes e produtos já cadastrados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P1.</w:t>
        <w:tab/>
        <w:t xml:space="preserve">Usuário acessa a tela de empréstimo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tela inicial, o usuário clica no botão “Cadastrar Empréstimo” para abrir a página de cadastro de empréstimo.</w:t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Usuário seleciona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começa digitando o nome ou o CPF no campo do cliente e uma lista de clientes sugeridos aparece. Ele, então, seleciona o cliente.</w:t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Usuário seleciona os itens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digita o nome do objeto ou título ou nome do autor, caso seja um livro ou DVD e uma lista de objetos sugeridos aparece. Ele, então, seleciona o item e repete o processo se desejar registrar mais itens para empréstimo.</w:t>
      </w:r>
    </w:p>
    <w:p w:rsidR="00000000" w:rsidDel="00000000" w:rsidP="00000000" w:rsidRDefault="00000000" w:rsidRPr="00000000" w14:paraId="0000006B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Usuário define a data de devolução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escolhe se a data de devolução é a mesma ou diferente para cada item.</w:t>
      </w:r>
    </w:p>
    <w:p w:rsidR="00000000" w:rsidDel="00000000" w:rsidP="00000000" w:rsidRDefault="00000000" w:rsidRPr="00000000" w14:paraId="0000006F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Usuário registra o empréstimo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8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usuário clica no botão “Cadastrar Empréstimo”, recebe uma mensagem dizendo que o empréstimo foi cadastrado com sucesso e retorna para a tela inicial. Fim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 Durante os passos P2, P3 e P4, o usuário pode, a qualquer momento, clicar no botão “Cancelar” para interromper o processo de cadastro do empréstimo e retornar para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 durante o passo P4, o usuário inserir uma data anterior à atual, será exibido um alerta na caixa de data, marcado na cor vermelha, informando: “Data Não Pode Ser no Passado”.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empréstimo é registrado e o sistema irá para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ponto de extensão identificado”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data escolhida, precisa não pode ser no passado.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Alta. Os clientes e produtos são acessados durante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center" w:leader="none" w:pos="5103"/>
              <w:tab w:val="left" w:leader="none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-7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d1K9EVbf8jpeJjm/HWT6zrTilw==">AMUW2mU1hdLjNruqgMrxir6cPNBW0qh2YnTlKo/zWxPNhIZU6O2iH+clpp2/NpZphM8JnaDLa0aUvau3NiYUQVYPTGVzOZxxsQVH4G+rgePlvexeS+OocX0=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