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 Devolução.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registrar uma devolução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  <w:tab/>
        <w:t xml:space="preserve">O usuário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“Registrar devolução”.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registro de devolução.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insere as informações da devolução e clica no botão “Registrar”.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P5.1.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localiza o cliente na tabela de clientes e marca sua caixa de seleção.</w:t>
      </w:r>
    </w:p>
    <w:p w:rsidR="00000000" w:rsidDel="00000000" w:rsidP="00000000" w:rsidRDefault="00000000" w:rsidRPr="00000000" w14:paraId="00000069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P5.2.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localiza o empréstimo ativo na tabela de empréstimos ativos e marca sua caixa de seleção.</w:t>
      </w:r>
    </w:p>
    <w:p w:rsidR="00000000" w:rsidDel="00000000" w:rsidP="00000000" w:rsidRDefault="00000000" w:rsidRPr="00000000" w14:paraId="0000006B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P5.3.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localiza o produto na tabela de produtos emprestados e marca sua caixa de seleção.</w:t>
      </w:r>
    </w:p>
    <w:p w:rsidR="00000000" w:rsidDel="00000000" w:rsidP="00000000" w:rsidRDefault="00000000" w:rsidRPr="00000000" w14:paraId="0000006D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P5.4.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digita a quantidade devolvida do produto.</w:t>
      </w:r>
    </w:p>
    <w:p w:rsidR="00000000" w:rsidDel="00000000" w:rsidP="00000000" w:rsidRDefault="00000000" w:rsidRPr="00000000" w14:paraId="0000006F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P5.5.</w:t>
      </w:r>
      <w:r w:rsidDel="00000000" w:rsidR="00000000" w:rsidRPr="00000000">
        <w:rPr>
          <w:rFonts w:ascii="Arial" w:cs="Arial" w:eastAsia="Arial" w:hAnsi="Arial"/>
          <w:rtl w:val="0"/>
        </w:rPr>
        <w:t xml:space="preserve">  O usuário clica no botão “Registrar”.</w:t>
      </w:r>
    </w:p>
    <w:p w:rsidR="00000000" w:rsidDel="00000000" w:rsidP="00000000" w:rsidRDefault="00000000" w:rsidRPr="00000000" w14:paraId="00000071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62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uma mensagem de sucesso, exibe a tela inicial e encerra o caso de uso.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A1.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No passo P5 o usuário pode, a qualquer momento, clicar no botão “Cancelar” para interromper o registro da devolução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P2.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A2.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Após concluir o passo P5.4 o usuário pode retornar ao passo P5.3 para devolver outro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 durante o passo P5.4 o usuário digitar uma quantidade devolvida maior que a quantidade emprestada dum produto, será exibido um alerta no campo de quantidade, marcado na cor vermelha, informando: “Este produto tem ‘n’ unidades emprestadas neste empréstimo”, sendo ‘n’ a quantidade emprestada do produto no empréstimo selecionado.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devolução é registrada com sucesso e a quantidade disponível dos produtos é atualizada.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quantidade devolvida dum produto não pode ser maior que sua quantidade emprestada.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Alta. Informações de clientes, produtos e empréstimos ativos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0" w:date="2023-03-02T11:29:23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finalizar o Caso de Uso.</w:t>
      </w:r>
    </w:p>
  </w:comment>
  <w:comment w:author="Unknown Author" w:id="1" w:date="2023-03-02T11:29:51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para qual passo retorna.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0" w15:done="0"/>
  <w15:commentEx w15:paraId="000000A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yZDaEZRGkSA2odIp5xlDzO5EVQ==">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