
<file path=[Content_Types].xml><?xml version="1.0" encoding="utf-8"?>
<Types xmlns="http://schemas.openxmlformats.org/package/2006/content-types">
  <Default Extension="png" ContentType="image/pn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Resumo estruturado dos experimentos de Spot-Checking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Orientação geral. </w:t>
      </w:r>
    </w:p>
    <w:p w:rsidR="00000000" w:rsidDel="00000000" w:rsidP="00000000" w:rsidRDefault="00000000" w:rsidRPr="00000000" w14:paraId="00000004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Este documento deve apresentar, de forma concisa, as principais decisões, resultados e conclusões do T1. O notebook é o artefato principal para detalhar procedimentos, código, análises e resultados intermediários. Evite reproduzir no relatório todo o conteúdo do notebook.</w:t>
      </w:r>
    </w:p>
    <w:p w:rsidR="00000000" w:rsidDel="00000000" w:rsidP="00000000" w:rsidRDefault="00000000" w:rsidRPr="00000000" w14:paraId="00000005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Cada grupo deve entregar um documento conforme este template. Ao fazer a sua entrega, delete do documento esta primeira página de orientações.</w:t>
      </w:r>
    </w:p>
    <w:p w:rsidR="00000000" w:rsidDel="00000000" w:rsidP="00000000" w:rsidRDefault="00000000" w:rsidRPr="00000000" w14:paraId="00000006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Identificação do grupo</w:t>
      </w:r>
    </w:p>
    <w:tbl>
      <w:tblPr>
        <w:tblStyle w:val="Table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Nome</w:t>
            </w: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Cartão UFRGS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Gabriel Pieruccini Knopp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00594975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Vitor Santana Feijó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00588403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Link para o notebook do Google Colab (ou google drive com arquivos do T1):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&lt;digite aqui o link&gt;</w:t>
      </w: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29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heading=h.mmbord8qr3n4" w:id="0"/>
      <w:bookmarkEnd w:id="0"/>
      <w:r>
        <w:rPr>
          <w:rFonts w:ascii="Arial" w:cs="Arial" w:eastAsia="Arial" w:hAnsi="Arial"/>
          <w:sz w:val="22"/>
          <w:szCs w:val="22"/>
          <w:rtl w:val="0"/>
        </w:rPr>
        <w:t xml:space="preserve">1. Definição do problema</w:t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Título do trabalho:</w:t>
      </w:r>
      <w:r>
        <w:rPr>
          <w:rFonts w:ascii="Arial" w:cs="Arial" w:eastAsia="Arial" w:hAnsi="Arial"/>
          <w:sz w:val="22"/>
          <w:szCs w:val="22"/>
          <w:rtl w:val="0"/>
        </w:rPr>
        <w:t xml:space="preserve"> Detector de Ataques Cardíacos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Dataset: </w:t>
      </w:r>
      <w:r>
        <w:rPr>
          <w:rFonts w:ascii="Arial" w:cs="Arial" w:eastAsia="Arial" w:hAnsi="Arial"/>
          <w:sz w:val="22"/>
          <w:szCs w:val="22"/>
          <w:rtl w:val="0"/>
        </w:rPr>
        <w:t xml:space="preserve"> </w:t>
      </w:r>
      <w:hyperlink r:id="rIdKaggle">
        <w:r>
          <w:rPr>
            <w:rFonts w:ascii="Arial" w:cs="Arial" w:eastAsia="Arial" w:hAnsi="Arial"/>
            <w:color w:val="1155CC"/>
            <w:u w:val="single"/>
            <w:sz w:val="22"/>
            <w:szCs w:val="22"/>
            <w:rtl w:val="0"/>
          </w:rPr>
          <w:t xml:space="preserve">Health Care Dataset on Heart Attack Possibility</w:t>
        </w:r>
      </w:hyperlink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Variável alvo/problema a ser resolvido: </w:t>
      </w:r>
      <w:r>
        <w:rPr>
          <w:rFonts w:ascii="Arial" w:cs="Arial" w:eastAsia="Arial" w:hAnsi="Arial"/>
          <w:sz w:val="22"/>
          <w:szCs w:val="22"/>
          <w:rtl w:val="0"/>
        </w:rPr>
        <w:t xml:space="preserve"> Tendência de Ataque Cardíaco</w:t>
      </w:r>
    </w:p>
    <w:p w:rsidR="00000000" w:rsidDel="00000000" w:rsidP="00000000" w:rsidRDefault="00000000" w:rsidRPr="00000000" w14:paraId="0000002E">
      <w:pPr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Caracterização dos dados</w:t>
      </w:r>
      <w:r>
        <w:rPr>
          <w:rFonts w:ascii="Arial" w:cs="Arial" w:eastAsia="Arial" w:hAnsi="Arial"/>
          <w:sz w:val="22"/>
          <w:szCs w:val="22"/>
          <w:rtl w:val="0"/>
        </w:rPr>
        <w:t xml:space="preserve">: 303 instâncias no arquivo original (302 após a remoção de 1 instância duplicada) e 13 atributos preditivos, todos utilizados: 5 numéricos (age, trestbps, chol, thalach, oldpeak), 3 binários (sex, fbs, exang), 4 categóricos nominais (cp, restecg, slope, thal) e 1 discreto ordinal (ca). O alvo é binário: 138 pacientes com doença cardíaca (45,7%) e 164 sem doença (54,3%).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2. Preparação dos dados</w:t>
      </w:r>
    </w:p>
    <w:p w:rsidR="00000000" w:rsidDel="00000000" w:rsidP="00000000" w:rsidRDefault="00000000" w:rsidRPr="00000000" w14:paraId="00000031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Descreva as decisões de preparação que foram necessárias para o dataset escolhido, incluindo: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Atributos disponíveis e utilizados.</w:t>
      </w:r>
      <w:r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Tratamento de valores ausentes e inconsistências, quando aplicável.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Codificação e/ou transformação das variáveis.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Normalização ou padronização, quando aplicável.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Tratamento de desbalanceamento de classes, quando aplicável.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Outras decisões de pré-processamento que possam afetar a comparação entre modelos.</w:t>
      </w:r>
    </w:p>
    <w:p w:rsidR="00000000" w:rsidDel="00000000" w:rsidP="00000000" w:rsidRDefault="00000000" w:rsidRPr="00000000" w14:paraId="00000039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Resumo das decisões:</w:t>
      </w:r>
    </w:p>
    <w:p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Atributos: </w:t>
      </w:r>
      <w:r>
        <w:rPr>
          <w:rFonts w:ascii="Arial" w:cs="Arial" w:eastAsia="Arial" w:hAnsi="Arial"/>
          <w:sz w:val="22"/>
          <w:szCs w:val="22"/>
          <w:rtl w:val="0"/>
        </w:rPr>
        <w:t xml:space="preserve">os 13 atributos preditivos foram mantidos. Alguns atributos apresentam baixa relevância individual (informação mútua e correlação com o alvo), mas, como a base tem poucos atributos e essas medidas não capturam interações, nenhum atributo foi removido no spot-checking.</w:t>
      </w:r>
    </w:p>
    <w:p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Valores ausentes e inconsistências: </w:t>
      </w:r>
      <w:r>
        <w:rPr>
          <w:rFonts w:ascii="Arial" w:cs="Arial" w:eastAsia="Arial" w:hAnsi="Arial"/>
          <w:sz w:val="22"/>
          <w:szCs w:val="22"/>
          <w:rtl w:val="0"/>
        </w:rPr>
        <w:t xml:space="preserve">não há valores NaN explícitos, mas a comparação registro a registro com a base Cleveland original da UCI mostrou que ca = 4 (4 instâncias) e thal = 0 (2 instâncias) correspondem a valores ausentes ("?") e que a descrição de thal no Kaggle está incorreta (na prática, 1 = defeito fixo, 2 = normal, 3 = defeito reversível). Esses códigos foram convertidos em valores ausentes e imputados pela mediana, calculada apenas nos dados de treino de cada fold (para thal, nominal, a mediana coincide com a moda). Foi removida 1 instância duplicada, artefato da versão do Kaggle. A mesma comparação revelou que target = 1 corresponde aos pacientes sem doença (num = 0 na UCI), ao contrário da descrição do Kaggle; por isso, o alvo foi recodificado para 1 = com doença, a classe positiva das métricas. Os outliers (trestbps, chol, thalach e oldpeak) foram mantidos por serem clinicamente plausíveis.</w:t>
      </w:r>
    </w:p>
    <w:p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Codificação: </w:t>
      </w:r>
      <w:r>
        <w:rPr>
          <w:rFonts w:ascii="Arial" w:cs="Arial" w:eastAsia="Arial" w:hAnsi="Arial"/>
          <w:sz w:val="22"/>
          <w:szCs w:val="22"/>
          <w:rtl w:val="0"/>
        </w:rPr>
        <w:t xml:space="preserve">não foi necessário converter atributos categóricos em numéricos, pois todos já estão armazenados como números. Porém, cp, restecg, slope e thal são categorias nominais codificadas como inteiros e sem relação monotônica com o alvo; por isso recebem one-hot encoding (13 → 22 colunas), com handle_unknown="ignore" devido a categorias raras (ex.: restecg = 2). Os atributos binários e ca permanecem como estão.</w:t>
      </w:r>
    </w:p>
    <w:p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Normalização: </w:t>
      </w:r>
      <w:r>
        <w:rPr>
          <w:rFonts w:ascii="Arial" w:cs="Arial" w:eastAsia="Arial" w:hAnsi="Arial"/>
          <w:sz w:val="22"/>
          <w:szCs w:val="22"/>
          <w:rtl w:val="0"/>
        </w:rPr>
        <w:t xml:space="preserve">as escalas são muito heterogêneas (a amplitude de chol é cerca de 71 vezes a de oldpeak); os atributos numéricos e ca são padronizados (z-score, StandardScaler), o que é essencial para KNN, Regressão Logística e Rede Neural.</w:t>
      </w:r>
    </w:p>
    <w:p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Desbalanceamento: </w:t>
      </w:r>
      <w:r>
        <w:rPr>
          <w:rFonts w:ascii="Arial" w:cs="Arial" w:eastAsia="Arial" w:hAnsi="Arial"/>
          <w:sz w:val="22"/>
          <w:szCs w:val="22"/>
          <w:rtl w:val="0"/>
        </w:rPr>
        <w:t xml:space="preserve">as classes estão quase balanceadas (54% × 46%, razão ≈ 1,2); não se aplica reamostragem, apenas estratificação nas divisões.</w:t>
      </w:r>
    </w:p>
    <w:p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Outras decisões: </w:t>
      </w:r>
      <w:r>
        <w:rPr>
          <w:rFonts w:ascii="Arial" w:cs="Arial" w:eastAsia="Arial" w:hAnsi="Arial"/>
          <w:sz w:val="22"/>
          <w:szCs w:val="22"/>
          <w:rtl w:val="0"/>
        </w:rPr>
        <w:t xml:space="preserve">a remoção da duplicata, a marcação dos códigos de ausência e a recodificação do alvo (regras determinísticas, que não aprendem nada dos dados) são feitas antes da divisão treino/teste; as etapas que aprendem parâmetros (imputação, codificação e padronização) são encapsuladas em um Pipeline, ajustado somente nos dados de treino de cada fold.</w:t>
      </w:r>
    </w:p>
    <w:p w:rsidR="00000000" w:rsidDel="00000000" w:rsidP="00000000" w:rsidRDefault="00000000" w:rsidRPr="00000000" w14:paraId="0000003B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3. Protocolo de avaliação</w:t>
      </w:r>
    </w:p>
    <w:p w:rsidR="00000000" w:rsidDel="00000000" w:rsidP="00000000" w:rsidRDefault="00000000" w:rsidRPr="00000000" w14:paraId="0000003C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Descreva como os modelos serão comparados, preenchendo a tabela abaixo. Adicione observações adicionais necessárias em um parágrafo após a tabela.</w:t>
      </w:r>
    </w:p>
    <w:tbl>
      <w:tblPr>
        <w:tblStyle w:val="Table2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Tarefa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Classificação binária: o alvo indica se o paciente possui ou não doença cardíaca (tendência a ataque cardíaco). Para a modelagem, 1 = com doença (classe positiva) e 0 = sem doença.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 principal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F1-score da classe positiva (com doença). Combina precisão e recall, penalizando tanto deixar de identificar pacientes doentes (falsos negativos) quanto alarmes falsos. Como as classes estão quase balanceadas, a acurácia não seria enganosa, mas trata os dois erros como equivalentes e não informa sobre a classe de interesse.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Métricas avaliadas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F1 (principal), acurácia, precisão, recall e ROC-AUC.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Particionamento dos dados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Holdout estratificado pelo alvo: 80% para treino (241 instâncias) e 20% para teste (61 instâncias), com random_state = 42. O spot-checking usa apenas o conjunto de treino; o teste fica reservado para a avaliação final no T2.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 de validação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Validação cruzada estratificada repetida no conjunto de treino (RepeatedStratifiedKFold): 5 folds × 10 repetições = 50 avaliações por algoritmo, com random_state = 42. Não foi usado nested CV, pois não há otimização de hiperparâmetros no T1.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Tratamento do desbalanceamento de classes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Não se aplica: classes quase balanceadas (54,4% sem doença × 45,6% com doença no treino; razão ≈ 1,2). Todas as divisões são estratificadas para preservar essa proporção.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Critério de comparação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Média e desvio padrão do F1 nas 50 avaliações (as mesmas divisões para todos os algoritmos), complementados por boxplots da distribuição do F1; as métricas secundárias auxiliam a interpretação quando as diferenças de F1 são pequenas em relação ao desvio padrão.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Estratégias contra data leakage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Remoção da duplicata antes da divisão (evita a mesma instância em treino e teste); EDA apenas descritiva, sem ajustar transformações usadas pelos modelos; imputação, one-hot encoding e padronização encapsuladas em um Pipeline do scikit-learn, reajustado apenas nos dados de treino de cada fold; conjunto de teste não utilizado no T1.</w:t>
            </w:r>
          </w:p>
        </w:tc>
      </w:tr>
    </w:tbl>
    <w:p w:rsidR="00000000" w:rsidDel="00000000" w:rsidP="00000000" w:rsidRDefault="00000000" w:rsidRPr="00000000" w14:paraId="0000004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4. Execução do Spot-Checking</w:t>
      </w:r>
    </w:p>
    <w:p w:rsidR="00000000" w:rsidDel="00000000" w:rsidP="00000000" w:rsidRDefault="00000000" w:rsidRPr="00000000" w14:paraId="0000004F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Liste os algoritmos avaliados e registre, de forma sucinta, as configurações dos hiperparâmetros utilizadas. O objetivo desta etapa é identificar modelos promissores para investigação mais aprofundada no T2.</w:t>
      </w:r>
    </w:p>
    <w:tbl>
      <w:tblPr>
        <w:tblStyle w:val="Table3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Modelo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Configuração utilizada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Motivo da inclusão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Observações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KNN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Padrão: n_neighbors = 5, distância euclidiana, pesos uniformes.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Baseado em instâncias, não paramétrico.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Sensível à escala: depende da padronização e do one-hot.</w:t>
            </w:r>
          </w:p>
        </w:tc>
      </w:tr>
      <w:tr>
        <w:trPr>
          <w:cantSplit w:val="0"/>
          <w:tblHeader w:val="0"/>
        </w:trPr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Árvore de Decisão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Padrão: critério Gini, sem poda (max_depth = None), random_state = 42.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Simbólico, não linear e interpretável; referência para os ensembles de árvores.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Sem poda, tende a sobreajustar (alta variância).</w:t>
            </w:r>
          </w:p>
        </w:tc>
      </w:tr>
      <w:tr>
        <w:trPr>
          <w:cantSplit w:val="0"/>
          <w:tblHeader w:val="0"/>
        </w:trPr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Regressão Logística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Padrão: regularização L2, C = 1,0, solver lbfgs.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Linear e probabilístico (paramétrico).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Sensível à escala; coeficientes interpretáveis.</w:t>
            </w:r>
          </w:p>
        </w:tc>
      </w:tr>
      <w:tr>
        <w:trPr>
          <w:cantSplit w:val="0"/>
          <w:tblHeader w:val="0"/>
        </w:trPr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Rede Neural (MLP)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Padrão (1 camada oculta de 100 neurônios, ReLU, Adam), exceto max_iter = 1000; random_state = 42.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Conexionista, não linear, aprendizado por gradiente.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max_iter elevado (padrão: 200) apenas para garantir a convergência.</w:t>
            </w:r>
          </w:p>
        </w:tc>
      </w:tr>
      <w:tr>
        <w:trPr>
          <w:cantSplit w:val="0"/>
          <w:tblHeader w:val="0"/>
        </w:trPr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 Forest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Padrão: 100 árvores, max_features = "sqrt", random_state = 42.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Ensemble por bagging; reduz a variância de uma árvore isolada.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Insensível à escala dos atributos.</w:t>
            </w:r>
          </w:p>
        </w:tc>
      </w:tr>
      <w:tr>
        <w:trPr>
          <w:cantSplit w:val="0"/>
          <w:tblHeader w:val="0"/>
        </w:trPr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Gradient Boosting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Padrão: 100 estimadores, learning_rate = 0,1, max_depth = 3, random_state = 42.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Ensemble por boosting; reduz o viés de forma sequencial.</w:t>
            </w:r>
          </w:p>
        </w:tc>
        <w:tc>
          <w:tcPr>
            <w:tcW w:w="2436" w:type="dxa"/>
          </w:tcPr>
          <w:p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Insensível à escala dos atributos.</w:t>
            </w:r>
          </w:p>
        </w:tc>
      </w:tr>
    </w:tbl>
    <w:p w:rsidR="00000000" w:rsidDel="00000000" w:rsidP="00000000" w:rsidRDefault="00000000" w:rsidRPr="00000000" w14:paraId="0000005D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Adicione linhas conforme necessário. Não é necessário apresentar aqui todo o código de execução; ele deve estar disponível no notebook.</w:t>
      </w:r>
    </w:p>
    <w:p w:rsidR="00000000" w:rsidDel="00000000" w:rsidP="00000000" w:rsidRDefault="00000000" w:rsidRPr="00000000" w14:paraId="0000005F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5. Resultados</w:t>
      </w:r>
    </w:p>
    <w:p w:rsidR="00000000" w:rsidDel="00000000" w:rsidP="00000000" w:rsidRDefault="00000000" w:rsidRPr="00000000" w14:paraId="00000060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5.1 Tabela comparativa</w:t>
      </w:r>
    </w:p>
    <w:p w:rsidR="00000000" w:rsidDel="00000000" w:rsidP="00000000" w:rsidRDefault="00000000" w:rsidRPr="00000000" w14:paraId="00000061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Apresente os resultados obtidos para os modelos analisados em tabela, com a média e o desvio padrão das métricas analisadas.</w:t>
      </w:r>
    </w:p>
    <w:tbl>
      <w:tblPr>
        <w:tblW w:w="9744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44"/>
        <w:gridCol w:w="1500"/>
        <w:gridCol w:w="1500"/>
        <w:gridCol w:w="1500"/>
        <w:gridCol w:w="1500"/>
        <w:gridCol w:w="1500"/>
      </w:tblGrid>
      <w:tr>
        <w:trPr>
          <w:cantSplit w:val="0"/>
          <w:tblHeader w:val="0"/>
        </w:trPr>
        <w:tc>
          <w:tcPr>
            <w:tcW w:w="22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Modelo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F1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Acurácia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Precisão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Recall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ROC-AUC</w:t>
            </w:r>
          </w:p>
        </w:tc>
      </w:tr>
      <w:tr>
        <w:trPr>
          <w:cantSplit w:val="0"/>
          <w:tblHeader w:val="0"/>
        </w:trPr>
        <w:tc>
          <w:tcPr>
            <w:tcW w:w="22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Regressão Logística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0,826 ± 0,059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0,848 ± 0,048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0,864 ± 0,068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0,798 ± 0,090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0,909 ± 0,042</w:t>
            </w:r>
          </w:p>
        </w:tc>
      </w:tr>
      <w:tr>
        <w:trPr>
          <w:cantSplit w:val="0"/>
          <w:tblHeader w:val="0"/>
        </w:trPr>
        <w:tc>
          <w:tcPr>
            <w:tcW w:w="22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KNN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0,818 ± 0,055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0,837 ± 0,046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0,833 ± 0,061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0,808 ± 0,076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0,872 ± 0,051</w:t>
            </w:r>
          </w:p>
        </w:tc>
      </w:tr>
      <w:tr>
        <w:trPr>
          <w:cantSplit w:val="0"/>
          <w:tblHeader w:val="0"/>
        </w:trPr>
        <w:tc>
          <w:tcPr>
            <w:tcW w:w="22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Random Forest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0,809 ± 0,053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0,829 ± 0,047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0,830 ± 0,074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0,796 ± 0,079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0,904 ± 0,040</w:t>
            </w:r>
          </w:p>
        </w:tc>
      </w:tr>
      <w:tr>
        <w:trPr>
          <w:cantSplit w:val="0"/>
          <w:tblHeader w:val="0"/>
        </w:trPr>
        <w:tc>
          <w:tcPr>
            <w:tcW w:w="22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Gradient Boosting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0,781 ± 0,053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0,800 ± 0,047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0,786 ± 0,062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0,782 ± 0,082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0,878 ± 0,045</w:t>
            </w:r>
          </w:p>
        </w:tc>
      </w:tr>
      <w:tr>
        <w:trPr>
          <w:cantSplit w:val="0"/>
          <w:tblHeader w:val="0"/>
        </w:trPr>
        <w:tc>
          <w:tcPr>
            <w:tcW w:w="22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Rede Neural (MLP)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0,773 ± 0,062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0,797 ± 0,057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0,801 ± 0,092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0,756 ± 0,085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0,867 ± 0,053</w:t>
            </w:r>
          </w:p>
        </w:tc>
      </w:tr>
      <w:tr>
        <w:trPr>
          <w:cantSplit w:val="0"/>
          <w:tblHeader w:val="0"/>
        </w:trPr>
        <w:tc>
          <w:tcPr>
            <w:tcW w:w="22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Árvore de Decisão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0,729 ± 0,056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0,749 ± 0,053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0,725 ± 0,068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0,740 ± 0,082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0,749 ± 0,053</w:t>
            </w:r>
          </w:p>
        </w:tc>
      </w:tr>
    </w:tbl>
    <w:p>
      <w:pPr>
        <w:jc w:val="both"/>
        <w:rPr>
          <w:rFonts w:ascii="Arial" w:cs="Arial" w:eastAsia="Arial" w:hAnsi="Arial"/>
          <w:sz w:val="18"/>
          <w:szCs w:val="18"/>
        </w:rPr>
      </w:pPr>
      <w:r>
        <w:rPr>
          <w:rFonts w:ascii="Arial" w:cs="Arial" w:eastAsia="Arial" w:hAnsi="Arial"/>
          <w:sz w:val="18"/>
          <w:szCs w:val="18"/>
          <w:rtl w:val="0"/>
        </w:rPr>
        <w:t xml:space="preserve">Média ± desvio padrão nas 50 avaliações (5 folds × 10 repetições), ordenado pelo F1. Classe positiva: com doença.</w:t>
      </w:r>
    </w:p>
    <w:p w:rsidR="00000000" w:rsidDel="00000000" w:rsidP="00000000" w:rsidRDefault="00000000" w:rsidRPr="00000000" w14:paraId="00000063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5.2 Gráfico comparativo</w:t>
      </w:r>
    </w:p>
    <w:p w:rsidR="00000000" w:rsidDel="00000000" w:rsidP="00000000" w:rsidRDefault="00000000" w:rsidRPr="00000000" w14:paraId="00000065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Insira um gráfico que permita comparar visualmente o desempenho dos modelos segundo a(s) métrica(s) definida(s) no protocolo.</w:t>
      </w:r>
    </w:p>
    <w:p>
      <w:pPr>
        <w:jc w:val="center"/>
      </w:pPr>
      <w:r>
        <w:drawing>
          <wp:inline distT="0" distB="0" distL="0" distR="0">
            <wp:extent cx="5486400" cy="2698595"/>
            <wp:docPr id="901" name="Gráfico F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" name="grafico_f1.png"/>
                    <pic:cNvPicPr/>
                  </pic:nvPicPr>
                  <pic:blipFill>
                    <a:blip r:embed="rIdGraficoF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Arial" w:cs="Arial" w:eastAsia="Arial" w:hAnsi="Arial"/>
          <w:sz w:val="18"/>
          <w:szCs w:val="18"/>
        </w:rPr>
      </w:pPr>
      <w:r>
        <w:rPr>
          <w:rFonts w:ascii="Arial" w:cs="Arial" w:eastAsia="Arial" w:hAnsi="Arial"/>
          <w:sz w:val="18"/>
          <w:szCs w:val="18"/>
          <w:rtl w:val="0"/>
        </w:rPr>
        <w:t xml:space="preserve">Distribuição do F1 (classe positiva = com doença) nas 50 avaliações de cada algoritmo; o losango indica a média.</w:t>
      </w:r>
    </w:p>
    <w:p w:rsidR="00000000" w:rsidDel="00000000" w:rsidP="00000000" w:rsidRDefault="00000000" w:rsidRPr="00000000" w14:paraId="00000067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6. Interpretação dos resultados</w:t>
      </w:r>
    </w:p>
    <w:p w:rsidR="00000000" w:rsidDel="00000000" w:rsidP="00000000" w:rsidRDefault="00000000" w:rsidRPr="00000000" w14:paraId="00000068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Interprete os resultados com foco na comparação entre os modelos e nas evidências que justificam as decisões para o T2. Evite apenas repetir os valores apresentados na tabela.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modelos apresentaram resultados mais promissores segundo o protocolo definido?</w:t>
      </w:r>
      <w:r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6C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padrões, diferenças ou comportamentos relevantes foram observados entre os modelos?</w:t>
      </w:r>
      <w:r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6F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que os resultados sugerem sobre o problema e/ou sobre os dados?</w:t>
      </w:r>
      <w:r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72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7. Seleção dos modelos para o T2</w:t>
      </w:r>
    </w:p>
    <w:p w:rsidR="00000000" w:rsidDel="00000000" w:rsidP="00000000" w:rsidRDefault="00000000" w:rsidRPr="00000000" w14:paraId="00000073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Relate sobre os modelos selecionados para o T2 e justifique a escolha com base nos resultados do Spot-Checking. A seleção não precisa considerar apenas a maior métrica: aspectos como comportamento observado, características do problema e possibilidade de aprofundamento também podem ser considerados, desde que explicitados.</w:t>
      </w:r>
      <w:r>
        <w:rPr>
          <w:rtl w:val="0"/>
        </w:rPr>
      </w:r>
    </w:p>
    <w:p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Modelos selecionados: </w:t>
      </w:r>
      <w:r>
        <w:rPr>
          <w:rFonts w:ascii="Arial" w:cs="Arial" w:eastAsia="Arial" w:hAnsi="Arial"/>
          <w:sz w:val="22"/>
          <w:szCs w:val="22"/>
          <w:rtl w:val="0"/>
        </w:rPr>
        <w:t xml:space="preserve">Regressão Logística, KNN e Random Forest (as três maiores médias de F1 no spot-checking).</w:t>
      </w:r>
    </w:p>
    <w:p>
      <w:pPr>
        <w:jc w:val="both"/>
        <w:rPr>
          <w:rFonts w:ascii="Arial" w:cs="Arial" w:eastAsia="Arial" w:hAnsi="Arial"/>
          <w:sz w:val="22"/>
          <w:szCs w:val="22"/>
          <w:i w:val="1"/>
        </w:rPr>
      </w:pPr>
      <w:r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[Justificativa da seleção – a ser redigida pelo grupo, com base na Tabela 5.1, no Gráfico 5.2 e nos dados abaixo.]</w:t>
      </w:r>
    </w:p>
    <w:tbl>
      <w:tblPr>
        <w:tblW w:w="9744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4"/>
        <w:gridCol w:w="1700"/>
        <w:gridCol w:w="1000"/>
        <w:gridCol w:w="1000"/>
        <w:gridCol w:w="1000"/>
        <w:gridCol w:w="1500"/>
        <w:gridCol w:w="1500"/>
      </w:tblGrid>
      <w:tr>
        <w:trPr>
          <w:cantSplit w:val="0"/>
          <w:tblHeader w:val="0"/>
        </w:trPr>
        <w:tc>
          <w:tcPr>
            <w:tcW w:w="20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Modelo</w:t>
            </w:r>
          </w:p>
        </w:tc>
        <w:tc>
          <w:tcPr>
            <w:tcW w:w="17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F1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Recall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Precisão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ROC-AUC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Dif. de F1 para o 1º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Selecionado</w:t>
            </w:r>
          </w:p>
        </w:tc>
      </w:tr>
      <w:tr>
        <w:trPr>
          <w:cantSplit w:val="0"/>
          <w:tblHeader w:val="0"/>
        </w:trPr>
        <w:tc>
          <w:tcPr>
            <w:tcW w:w="20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Regressão Logística</w:t>
            </w:r>
          </w:p>
        </w:tc>
        <w:tc>
          <w:tcPr>
            <w:tcW w:w="17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0,826 ± 0,059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0,798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0,864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0,909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0,000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tcW w:w="20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KNN</w:t>
            </w:r>
          </w:p>
        </w:tc>
        <w:tc>
          <w:tcPr>
            <w:tcW w:w="17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0,818 ± 0,055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0,808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0,833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0,872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0,008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tcW w:w="20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Random Forest</w:t>
            </w:r>
          </w:p>
        </w:tc>
        <w:tc>
          <w:tcPr>
            <w:tcW w:w="17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0,809 ± 0,053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0,796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0,830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0,904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0,016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tcW w:w="20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Gradient Boosting</w:t>
            </w:r>
          </w:p>
        </w:tc>
        <w:tc>
          <w:tcPr>
            <w:tcW w:w="17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0,781 ± 0,053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0,782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0,786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0,878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0,045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não</w:t>
            </w:r>
          </w:p>
        </w:tc>
      </w:tr>
      <w:tr>
        <w:trPr>
          <w:cantSplit w:val="0"/>
          <w:tblHeader w:val="0"/>
        </w:trPr>
        <w:tc>
          <w:tcPr>
            <w:tcW w:w="20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Rede Neural (MLP)</w:t>
            </w:r>
          </w:p>
        </w:tc>
        <w:tc>
          <w:tcPr>
            <w:tcW w:w="17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0,773 ± 0,062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0,756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0,801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0,867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0,053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não</w:t>
            </w:r>
          </w:p>
        </w:tc>
      </w:tr>
      <w:tr>
        <w:trPr>
          <w:cantSplit w:val="0"/>
          <w:tblHeader w:val="0"/>
        </w:trPr>
        <w:tc>
          <w:tcPr>
            <w:tcW w:w="2044" w:type="dxa"/>
          </w:tcPr>
          <w:p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Árvore de Decisão</w:t>
            </w:r>
          </w:p>
        </w:tc>
        <w:tc>
          <w:tcPr>
            <w:tcW w:w="17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0,729 ± 0,056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0,740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0,725</w:t>
            </w:r>
          </w:p>
        </w:tc>
        <w:tc>
          <w:tcPr>
            <w:tcW w:w="10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0,749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0,097</w:t>
            </w:r>
          </w:p>
        </w:tc>
        <w:tc>
          <w:tcPr>
            <w:tcW w:w="1500" w:type="dxa"/>
          </w:tcPr>
          <w:p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não</w:t>
            </w:r>
          </w:p>
        </w:tc>
      </w:tr>
    </w:tbl>
    <w:p>
      <w:pPr>
        <w:jc w:val="both"/>
        <w:rPr>
          <w:rFonts w:ascii="Arial" w:cs="Arial" w:eastAsia="Arial" w:hAnsi="Arial"/>
          <w:sz w:val="18"/>
          <w:szCs w:val="18"/>
        </w:rPr>
      </w:pPr>
      <w:r>
        <w:rPr>
          <w:rFonts w:ascii="Arial" w:cs="Arial" w:eastAsia="Arial" w:hAnsi="Arial"/>
          <w:sz w:val="18"/>
          <w:szCs w:val="18"/>
          <w:rtl w:val="0"/>
        </w:rPr>
        <w:t xml:space="preserve">Médias nas 50 avaliações (5 folds × 10 repetições); F1 com desvio padrão. Classe positiva: com doença.</w:t>
      </w:r>
    </w:p>
    <w:p>
      <w:pPr>
        <w:jc w:val="center"/>
      </w:pPr>
      <w:r>
        <w:drawing>
          <wp:inline distT="0" distB="0" distL="0" distR="0">
            <wp:extent cx="5486400" cy="2698595"/>
            <wp:docPr id="902" name="Gráfico sele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2" name="grafico_selecao.png"/>
                    <pic:cNvPicPr/>
                  </pic:nvPicPr>
                  <pic:blipFill>
                    <a:blip r:embed="rIdGraficoSelecao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Arial" w:cs="Arial" w:eastAsia="Arial" w:hAnsi="Arial"/>
          <w:sz w:val="18"/>
          <w:szCs w:val="18"/>
        </w:rPr>
      </w:pPr>
      <w:r>
        <w:rPr>
          <w:rFonts w:ascii="Arial" w:cs="Arial" w:eastAsia="Arial" w:hAnsi="Arial"/>
          <w:sz w:val="18"/>
          <w:szCs w:val="18"/>
          <w:rtl w:val="0"/>
        </w:rPr>
        <w:t xml:space="preserve">F1 nas 50 avaliações de cada algoritmo, com os modelos selecionados para o T2 destacados; o losango indica a média.</w:t>
      </w:r>
    </w:p>
    <w:p w:rsidR="00000000" w:rsidDel="00000000" w:rsidP="00000000" w:rsidRDefault="00000000" w:rsidRPr="00000000" w14:paraId="0000007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Uso de IA Generativa</w:t>
      </w:r>
    </w:p>
    <w:p w:rsidR="00000000" w:rsidDel="00000000" w:rsidP="00000000" w:rsidRDefault="00000000" w:rsidRPr="00000000" w14:paraId="00000076">
      <w:pPr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Ferramentas de Inteligência Artificial Generativa podem ser utilizadas como recurso complementar durante a realização do trabalho, por exemplo, para esclarecer conceitos, sugerir alternativas, auxiliar na identificação de erros ou apoiar a organização do código e do texto. Entretanto, seu uso não substitui a análise e a tomada de decisão pelos estudantes. Todas as decisões metodológicas, implementações, resultados e interpretações apresentadas no trabalho devem ser compreendidas pelos autores, que devem ser capazes de explicar e justificar as escolhas realizadas e os resultados obtidos. </w:t>
      </w:r>
      <w:r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Quando o uso de IA Generativa tiver contribuído de forma relevante para o desenvolvimento do trabalho, isso deve ser informado neste relatório, conforme as orientações da disciplina.</w:t>
      </w:r>
    </w:p>
    <w:p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Utilizamos o Claude (Anthropic, 2026), por meio do Claude Code, como apoio: na análise exploratória e na geração de gráficos; na verificação da codificação do dataset do Kaggle em relação à base original da UCI; em sugestões de pré-processamento, métricas e protocolo de validação; na geração do código do notebook; e na estruturação e redação de rascunhos das seções descritivas deste relatório, revisados pelo grupo. As decisões metodológicas (algoritmos, métrica principal, estratégia de validação e seleção dos modelos para o T2) foram tomadas pelo grupo, e a interpretação dos resultados é de nossa autoria.</w:t>
      </w:r>
    </w:p>
    <w:p w:rsidR="00000000" w:rsidDel="00000000" w:rsidP="00000000" w:rsidRDefault="00000000" w:rsidRPr="00000000" w14:paraId="00000077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heading=h.ujqo1hw6u0tc" w:id="1"/>
      <w:bookmarkEnd w:id="1"/>
      <w:r>
        <w:rPr>
          <w:rFonts w:ascii="Arial" w:cs="Arial" w:eastAsia="Arial" w:hAnsi="Arial"/>
          <w:sz w:val="22"/>
          <w:szCs w:val="22"/>
          <w:rtl w:val="0"/>
        </w:rPr>
        <w:t xml:space="preserve">Referências utilizadas</w:t>
      </w:r>
    </w:p>
    <w:p w:rsidR="00000000" w:rsidDel="00000000" w:rsidP="00000000" w:rsidRDefault="00000000" w:rsidRPr="00000000" w14:paraId="00000078">
      <w:pPr>
        <w:rPr/>
      </w:pPr>
      <w:r>
        <w:rPr>
          <w:rtl w:val="0"/>
        </w:rPr>
        <w:t xml:space="preserve">Cite as referências utilizadas no desenvolvimento do trabalho.</w:t>
      </w:r>
    </w:p>
    <w:p>
      <w:pPr>
        <w:jc w:val="left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Anthropic. (2026). Claude (Opus 5.5) [Large language model]. Claude Code. https://www.anthropic.com/claude-code</w:t>
      </w:r>
    </w:p>
    <w:p>
      <w:pPr>
        <w:jc w:val="left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BHAT, N. Health care: Data set on Heart attack possibility. Kaggle. Disponível em: https://www.kaggle.com/datasets/nareshbhat/health-care-data-set-on-heart-attack-possibility. Acesso em: 20 out. 2026.</w:t>
      </w:r>
    </w:p>
    <w:p>
      <w:pPr>
        <w:jc w:val="left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JANOSI, A.; STEINBRUNN, W.; PFISTERER, M.; DETRANO, R. Heart Disease [conjunto de dados]. UCI Machine Learning Repository, 1988. DOI: https://doi.org/10.24432/C52P4X. Disponível em: https://archive.ics.uci.edu/dataset/45/heart+disease. Acesso em: 20 out. 2026.</w:t>
      </w:r>
    </w:p>
    <w:p>
      <w:pPr>
        <w:jc w:val="left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UCI MACHINE LEARNING REPOSITORY. Heart Disease: arquivos processed.cleveland.data (dados originais da base Cleveland, com valores ausentes marcados por "?") e heart-disease.names (documentação dos atributos). Disponível em: https://archive.ics.uci.edu/ml/machine-learning-databases/heart-disease/. Acesso em: 20 out. 2026. Utilizados para verificar a codificação de ca, thal e target na versão do Kaggle.</w:t>
      </w:r>
    </w:p>
    <w:p>
      <w:pPr>
        <w:jc w:val="left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DETRANO, R. et al. International application of a new probability algorithm for the diagnosis of coronary artery disease. American Journal of Cardiology, v. 64, n. 5, p. 304–310, 1989.</w:t>
      </w:r>
    </w:p>
    <w:p>
      <w:pPr>
        <w:jc w:val="left"/>
        <w:rPr>
          <w:rFonts w:ascii="Arial" w:cs="Arial" w:eastAsia="Arial" w:hAnsi="Arial"/>
          <w:sz w:val="22"/>
          <w:szCs w:val="22"/>
        </w:rPr>
      </w:pPr>
      <w:r>
        <w:rPr>
          <w:rFonts w:ascii="Arial" w:cs="Arial" w:eastAsia="Arial" w:hAnsi="Arial"/>
          <w:sz w:val="22"/>
          <w:szCs w:val="22"/>
          <w:rtl w:val="0"/>
        </w:rPr>
        <w:t xml:space="preserve">PEDREGOSA, F. et al. Scikit-learn: Machine Learning in Python. Journal of Machine Learning Research, v. 12, p. 2825–2830, 2011.</w:t>
      </w:r>
    </w:p>
    <w:p w:rsidR="00000000" w:rsidDel="00000000" w:rsidP="00000000" w:rsidRDefault="00000000" w:rsidRPr="00000000" w14:paraId="00000079">
      <w:pPr>
        <w:jc w:val="both"/>
        <w:rPr>
          <w:rFonts w:ascii="Arial" w:cs="Arial" w:eastAsia="Arial" w:hAnsi="Arial"/>
          <w:sz w:val="22"/>
          <w:szCs w:val="22"/>
        </w:rPr>
      </w:pPr>
      <w:r>
        <w:rPr>
          <w:rtl w:val="0"/>
        </w:rPr>
      </w:r>
    </w:p>
    <w:sectPr>
      <w:footerReference r:id="rId7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T1 — Spot-Check Summary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ptos" w:cs="Aptos" w:eastAsia="Aptos" w:hAnsi="Aptos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ptos" w:cs="Aptos" w:eastAsia="Aptos" w:hAnsi="Aptos"/>
      <w:b w:val="1"/>
      <w:bCs w:val="1"/>
      <w:color w:val="4f81b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ptos" w:cs="Aptos" w:eastAsia="Aptos" w:hAnsi="Aptos"/>
      <w:color w:val="17365d"/>
      <w:sz w:val="40"/>
      <w:szCs w:val="4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Kaggle" Type="http://schemas.openxmlformats.org/officeDocument/2006/relationships/hyperlink" Target="https://www.kaggle.com/datasets/nareshbhat/health-care-data-set-on-heart-attack-possibility" TargetMode="External"/><Relationship Id="rIdGraficoF1" Type="http://schemas.openxmlformats.org/officeDocument/2006/relationships/image" Target="media/grafico_f1.png"/><Relationship Id="rIdGraficoSelecao" Type="http://schemas.openxmlformats.org/officeDocument/2006/relationships/image" Target="media/grafico_selecao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GOocbzVwd3sUjn4MnWG9tPDOpA==">CgMxLjAyDmgubW1ib3JkOHFyM240Mg5oLnVqcW8xaHc2dTB0YzgAciExZnZQZW91QURsTzkzZG00MERVdDJqVTk1QXFoeGxZR28=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