
<file path=[Content_Types].xml><?xml version="1.0" encoding="utf-8"?>
<Types xmlns="http://schemas.openxmlformats.org/package/2006/content-types">
  <Default Extension="png" ContentType="image/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1C">
      <w:pPr>
        <w:jc w:val="center"/>
        <w:rPr>
          <w:rFonts w:ascii="Arial" w:cs="Arial" w:eastAsia="Arial" w:hAnsi="Arial"/>
          <w:sz w:val="22"/>
          <w:szCs w:val="22"/>
        </w:rPr>
      </w:pPr>
      <w:r>
        <w:rPr>
          <w:rFonts w:ascii="Arial" w:cs="Arial" w:eastAsia="Arial" w:hAnsi="Arial"/>
          <w:b w:val="1"/>
          <w:bCs w:val="1"/>
          <w:sz w:val="22"/>
          <w:szCs w:val="22"/>
          <w:rtl w:val="0"/>
        </w:rPr>
        <w:t xml:space="preserve">T1 — Spot-Check Summary</w:t>
      </w:r>
      <w:r>
        <w:rPr>
          <w:rtl w:val="0"/>
        </w:rPr>
      </w:r>
    </w:p>
    <w:p w:rsidR="00000000" w:rsidDel="00000000" w:rsidP="00000000" w:rsidRDefault="00000000" w:rsidRPr="00000000" w14:paraId="0000001D">
      <w:pPr>
        <w:pStyle w:val="Heading1"/>
        <w:jc w:val="both"/>
        <w:rPr>
          <w:rFonts w:ascii="Arial" w:cs="Arial" w:eastAsia="Arial" w:hAnsi="Arial"/>
          <w:sz w:val="22"/>
          <w:szCs w:val="22"/>
        </w:rPr>
      </w:pPr>
      <w:r>
        <w:rPr>
          <w:rFonts w:ascii="Arial" w:cs="Arial" w:eastAsia="Arial" w:hAnsi="Arial"/>
          <w:sz w:val="22"/>
          <w:szCs w:val="22"/>
          <w:rtl w:val="0"/>
        </w:rPr>
        <w:t xml:space="preserve">Identificação do grupo</w:t>
      </w:r>
    </w:p>
    <w:tbl>
      <w:tblPr>
        <w:tblStyle w:val="Table1"/>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vAlign w:val="center"/>
          </w:tcPr>
          <w:p w:rsidR="00000000" w:rsidDel="00000000" w:rsidP="00000000" w:rsidRDefault="00000000" w:rsidRPr="00000000" w14:paraId="0000001E">
            <w:pPr>
              <w:jc w:val="both"/>
              <w:rPr>
                <w:rFonts w:ascii="Arial" w:cs="Arial" w:eastAsia="Arial" w:hAnsi="Arial"/>
                <w:sz w:val="22"/>
                <w:szCs w:val="22"/>
              </w:rPr>
            </w:pPr>
            <w:r>
              <w:rPr>
                <w:rFonts w:ascii="Arial" w:cs="Arial" w:eastAsia="Arial" w:hAnsi="Arial"/>
                <w:b w:val="1"/>
                <w:bCs w:val="1"/>
                <w:sz w:val="22"/>
                <w:szCs w:val="22"/>
                <w:rtl w:val="0"/>
              </w:rPr>
              <w:t xml:space="preserve">Nome</w:t>
            </w:r>
            <w:r>
              <w:rPr>
                <w:rtl w:val="0"/>
              </w:rPr>
            </w:r>
          </w:p>
        </w:tc>
        <w:tc>
          <w:tcPr>
            <w:vAlign w:val="center"/>
          </w:tcPr>
          <w:p w:rsidR="00000000" w:rsidDel="00000000" w:rsidP="00000000" w:rsidRDefault="00000000" w:rsidRPr="00000000" w14:paraId="0000001F">
            <w:pPr>
              <w:jc w:val="both"/>
              <w:rPr>
                <w:rFonts w:ascii="Arial" w:cs="Arial" w:eastAsia="Arial" w:hAnsi="Arial"/>
                <w:b w:val="1"/>
                <w:bCs w:val="1"/>
                <w:sz w:val="22"/>
                <w:szCs w:val="22"/>
              </w:rPr>
            </w:pPr>
            <w:r>
              <w:rPr>
                <w:rFonts w:ascii="Arial" w:cs="Arial" w:eastAsia="Arial" w:hAnsi="Arial"/>
                <w:b w:val="1"/>
                <w:bCs w:val="1"/>
                <w:sz w:val="22"/>
                <w:szCs w:val="22"/>
                <w:rtl w:val="0"/>
              </w:rPr>
              <w:t xml:space="preserve">Cartão UFRGS</w:t>
            </w:r>
          </w:p>
        </w:tc>
      </w:tr>
      <w:tr>
        <w:trPr>
          <w:cantSplit w:val="0"/>
          <w:tblHeader w:val="0"/>
        </w:trPr>
        <w:tc>
          <w:tcPr>
            <w:vAlign w:val="center"/>
          </w:tcPr>
          <w:p w:rsidR="00000000" w:rsidDel="00000000" w:rsidP="00000000" w:rsidRDefault="00000000" w:rsidRPr="00000000" w14:paraId="00000020">
            <w:pPr>
              <w:jc w:val="both"/>
              <w:rPr>
                <w:rFonts w:ascii="Arial" w:cs="Arial" w:eastAsia="Arial" w:hAnsi="Arial"/>
                <w:sz w:val="22"/>
                <w:szCs w:val="22"/>
              </w:rPr>
            </w:pPr>
            <w:r>
              <w:rPr>
                <w:rFonts w:ascii="Arial" w:cs="Arial" w:eastAsia="Arial" w:hAnsi="Arial"/>
                <w:sz w:val="22"/>
                <w:szCs w:val="22"/>
                <w:rtl w:val="0"/>
              </w:rPr>
              <w:t xml:space="preserve">Gabriel Pieruccini Knopp</w:t>
            </w:r>
          </w:p>
        </w:tc>
        <w:tc>
          <w:tcPr>
            <w:vAlign w:val="center"/>
          </w:tcPr>
          <w:p w:rsidR="00000000" w:rsidDel="00000000" w:rsidP="00000000" w:rsidRDefault="00000000" w:rsidRPr="00000000" w14:paraId="00000021">
            <w:pPr>
              <w:jc w:val="both"/>
              <w:rPr>
                <w:rFonts w:ascii="Arial" w:cs="Arial" w:eastAsia="Arial" w:hAnsi="Arial"/>
                <w:sz w:val="22"/>
                <w:szCs w:val="22"/>
              </w:rPr>
            </w:pPr>
            <w:r>
              <w:rPr>
                <w:rFonts w:ascii="Arial" w:cs="Arial" w:eastAsia="Arial" w:hAnsi="Arial"/>
                <w:sz w:val="22"/>
                <w:szCs w:val="22"/>
                <w:rtl w:val="0"/>
              </w:rPr>
              <w:t xml:space="preserve">00594975</w:t>
            </w:r>
          </w:p>
        </w:tc>
      </w:tr>
      <w:tr>
        <w:trPr>
          <w:cantSplit w:val="0"/>
          <w:tblHeader w:val="0"/>
        </w:trPr>
        <w:tc>
          <w:tcPr>
            <w:vAlign w:val="center"/>
          </w:tcPr>
          <w:p w:rsidR="00000000" w:rsidDel="00000000" w:rsidP="00000000" w:rsidRDefault="00000000" w:rsidRPr="00000000" w14:paraId="00000022">
            <w:pPr>
              <w:jc w:val="both"/>
              <w:rPr>
                <w:rFonts w:ascii="Arial" w:cs="Arial" w:eastAsia="Arial" w:hAnsi="Arial"/>
                <w:sz w:val="22"/>
                <w:szCs w:val="22"/>
              </w:rPr>
            </w:pPr>
            <w:r>
              <w:rPr>
                <w:rFonts w:ascii="Arial" w:cs="Arial" w:eastAsia="Arial" w:hAnsi="Arial"/>
                <w:sz w:val="22"/>
                <w:szCs w:val="22"/>
                <w:rtl w:val="0"/>
              </w:rPr>
              <w:t xml:space="preserve">Vítor Santana Feijó</w:t>
            </w:r>
          </w:p>
        </w:tc>
        <w:tc>
          <w:tcPr>
            <w:vAlign w:val="center"/>
          </w:tcPr>
          <w:p w:rsidR="00000000" w:rsidDel="00000000" w:rsidP="00000000" w:rsidRDefault="00000000" w:rsidRPr="00000000" w14:paraId="00000023">
            <w:pPr>
              <w:jc w:val="both"/>
              <w:rPr>
                <w:rFonts w:ascii="Arial" w:cs="Arial" w:eastAsia="Arial" w:hAnsi="Arial"/>
                <w:sz w:val="22"/>
                <w:szCs w:val="22"/>
              </w:rPr>
            </w:pPr>
            <w:r>
              <w:rPr>
                <w:rFonts w:ascii="Arial" w:cs="Arial" w:eastAsia="Arial" w:hAnsi="Arial"/>
                <w:sz w:val="22"/>
                <w:szCs w:val="22"/>
                <w:rtl w:val="0"/>
              </w:rPr>
              <w:t xml:space="preserve">00588403</w:t>
            </w:r>
          </w:p>
        </w:tc>
      </w:tr>
      <w:tr>
        <w:trPr>
          <w:cantSplit w:val="0"/>
          <w:tblHeader w:val="0"/>
        </w:trPr>
        <w:tc>
          <w:tcPr>
            <w:vAlign w:val="center"/>
          </w:tcPr>
          <w:p w:rsidR="00000000" w:rsidDel="00000000" w:rsidP="00000000" w:rsidRDefault="00000000" w:rsidRPr="00000000" w14:paraId="00000024">
            <w:pPr>
              <w:jc w:val="both"/>
              <w:rPr>
                <w:rFonts w:ascii="Arial" w:cs="Arial" w:eastAsia="Arial" w:hAnsi="Arial"/>
                <w:sz w:val="22"/>
                <w:szCs w:val="22"/>
              </w:rPr>
            </w:pPr>
            <w:r>
              <w:rPr>
                <w:rtl w:val="0"/>
              </w:rPr>
            </w:r>
          </w:p>
        </w:tc>
        <w:tc>
          <w:tcPr>
            <w:vAlign w:val="center"/>
          </w:tcPr>
          <w:p w:rsidR="00000000" w:rsidDel="00000000" w:rsidP="00000000" w:rsidRDefault="00000000" w:rsidRPr="00000000" w14:paraId="00000025">
            <w:pPr>
              <w:jc w:val="both"/>
              <w:rPr>
                <w:rFonts w:ascii="Arial" w:cs="Arial" w:eastAsia="Arial" w:hAnsi="Arial"/>
                <w:sz w:val="22"/>
                <w:szCs w:val="22"/>
              </w:rPr>
            </w:pPr>
            <w:r>
              <w:rPr>
                <w:rtl w:val="0"/>
              </w:rPr>
            </w:r>
          </w:p>
        </w:tc>
      </w:tr>
    </w:tbl>
    <w:p w:rsidR="00000000" w:rsidDel="00000000" w:rsidP="00000000" w:rsidRDefault="00000000" w:rsidRPr="00000000" w14:paraId="00000026">
      <w:pPr>
        <w:spacing w:after="0" w:line="240" w:lineRule="auto"/>
        <w:jc w:val="both"/>
        <w:rPr>
          <w:rFonts w:ascii="Arial" w:cs="Arial" w:eastAsia="Arial" w:hAnsi="Arial"/>
          <w:b w:val="1"/>
          <w:bCs w:val="1"/>
          <w:sz w:val="22"/>
          <w:szCs w:val="22"/>
        </w:rPr>
      </w:pPr>
      <w:r>
        <w:rPr>
          <w:rtl w:val="0"/>
        </w:rPr>
      </w:r>
    </w:p>
    <w:p w:rsidR="00000000" w:rsidDel="00000000" w:rsidP="00000000" w:rsidRDefault="00000000" w:rsidRPr="00000000" w14:paraId="00000027">
      <w:pPr>
        <w:spacing w:after="0" w:line="240" w:lineRule="auto"/>
        <w:jc w:val="both"/>
        <w:rPr>
          <w:rFonts w:ascii="Arial" w:cs="Arial" w:eastAsia="Arial" w:hAnsi="Arial"/>
          <w:b w:val="1"/>
          <w:bCs w:val="1"/>
          <w:sz w:val="22"/>
          <w:szCs w:val="22"/>
        </w:rPr>
      </w:pPr>
      <w:r>
        <w:rPr>
          <w:rFonts w:ascii="Arial" w:cs="Arial" w:eastAsia="Arial" w:hAnsi="Arial"/>
          <w:b w:val="1"/>
          <w:bCs w:val="1"/>
          <w:sz w:val="22"/>
          <w:szCs w:val="22"/>
          <w:rtl w:val="0"/>
        </w:rPr>
        <w:t xml:space="preserve">Link para o notebook do Google Colab (ou google drive com arquivos do T1):</w:t>
      </w:r>
    </w:p>
    <w:p w:rsidR="00000000" w:rsidDel="00000000" w:rsidP="00000000" w:rsidRDefault="00000000" w:rsidRPr="00000000" w14:paraId="00000028">
      <w:pPr>
        <w:spacing w:after="0" w:line="240" w:lineRule="auto"/>
        <w:jc w:val="both"/>
        <w:rPr>
          <w:rFonts w:ascii="Arial" w:cs="Arial" w:eastAsia="Arial" w:hAnsi="Arial"/>
          <w:b w:val="1"/>
          <w:bCs w:val="1"/>
          <w:sz w:val="22"/>
          <w:szCs w:val="22"/>
        </w:rPr>
      </w:pPr>
      <w:hyperlink r:id="rIdColab">
        <w:r>
          <w:rPr>
            <w:rFonts w:ascii="Arial" w:cs="Arial" w:eastAsia="Arial" w:hAnsi="Arial"/>
            <w:color w:val="1155CC"/>
            <w:u w:val="single"/>
            <w:sz w:val="22"/>
            <w:szCs w:val="22"/>
            <w:rtl w:val="0"/>
          </w:rPr>
          <w:t xml:space="preserve">https://colab.research.google.com/drive/1RlvYrCOHP42hWTWEHPSErE1awk6hvJ6-?usp=sharing</w:t>
        </w:r>
      </w:hyperlink>
      <w:r>
        <w:rPr>
          <w:rFonts w:ascii="Arial" w:cs="Arial" w:eastAsia="Arial" w:hAnsi="Arial"/>
          <w:b w:val="1"/>
          <w:bCs w:val="1"/>
          <w:sz w:val="22"/>
          <w:szCs w:val="22"/>
          <w:rtl w:val="0"/>
        </w:rPr>
        <w:t xml:space="preserve"> </w:t>
      </w:r>
    </w:p>
    <w:p w:rsidR="00000000" w:rsidDel="00000000" w:rsidP="00000000" w:rsidRDefault="00000000" w:rsidRPr="00000000" w14:paraId="00000029">
      <w:pPr>
        <w:pStyle w:val="Heading1"/>
        <w:jc w:val="both"/>
        <w:rPr>
          <w:rFonts w:ascii="Arial" w:cs="Arial" w:eastAsia="Arial" w:hAnsi="Arial"/>
          <w:sz w:val="22"/>
          <w:szCs w:val="22"/>
        </w:rPr>
      </w:pPr>
      <w:bookmarkStart w:colFirst="0" w:colLast="0" w:name="_heading=h.mmbord8qr3n4" w:id="0"/>
      <w:bookmarkEnd w:id="0"/>
      <w:r>
        <w:rPr>
          <w:rFonts w:ascii="Arial" w:cs="Arial" w:eastAsia="Arial" w:hAnsi="Arial"/>
          <w:sz w:val="22"/>
          <w:szCs w:val="22"/>
          <w:rtl w:val="0"/>
        </w:rPr>
        <w:t xml:space="preserve">1. Definição do problema</w:t>
      </w:r>
    </w:p>
    <w:p w:rsidR="00000000" w:rsidDel="00000000" w:rsidP="00000000" w:rsidRDefault="00000000" w:rsidRPr="00000000" w14:paraId="0000002A">
      <w:pPr>
        <w:rPr>
          <w:rFonts w:ascii="Arial" w:cs="Arial" w:eastAsia="Arial" w:hAnsi="Arial"/>
          <w:sz w:val="22"/>
          <w:szCs w:val="22"/>
        </w:rPr>
      </w:pPr>
      <w:r>
        <w:rPr>
          <w:rtl w:val="0"/>
        </w:rPr>
      </w:r>
    </w:p>
    <w:p w:rsidR="00000000" w:rsidDel="00000000" w:rsidP="00000000" w:rsidRDefault="00000000" w:rsidRPr="00000000" w14:paraId="0000002B">
      <w:pPr>
        <w:rPr>
          <w:rFonts w:ascii="Arial" w:cs="Arial" w:eastAsia="Arial" w:hAnsi="Arial"/>
          <w:sz w:val="22"/>
          <w:szCs w:val="22"/>
        </w:rPr>
      </w:pPr>
      <w:r>
        <w:rPr>
          <w:rFonts w:ascii="Arial" w:cs="Arial" w:eastAsia="Arial" w:hAnsi="Arial"/>
          <w:b w:val="1"/>
          <w:bCs w:val="1"/>
          <w:sz w:val="22"/>
          <w:szCs w:val="22"/>
          <w:rtl w:val="0"/>
        </w:rPr>
        <w:t xml:space="preserve">Título do trabalho:</w:t>
      </w:r>
      <w:r>
        <w:rPr>
          <w:rFonts w:ascii="Arial" w:cs="Arial" w:eastAsia="Arial" w:hAnsi="Arial"/>
          <w:sz w:val="22"/>
          <w:szCs w:val="22"/>
          <w:rtl w:val="0"/>
        </w:rPr>
        <w:t xml:space="preserve"> Detector de Ataques Cardíacos</w:t>
      </w:r>
    </w:p>
    <w:p w:rsidR="00000000" w:rsidDel="00000000" w:rsidP="00000000" w:rsidRDefault="00000000" w:rsidRPr="00000000" w14:paraId="0000002C">
      <w:pPr>
        <w:rPr>
          <w:rFonts w:ascii="Arial" w:cs="Arial" w:eastAsia="Arial" w:hAnsi="Arial"/>
          <w:sz w:val="22"/>
          <w:szCs w:val="22"/>
        </w:rPr>
      </w:pPr>
      <w:r>
        <w:rPr>
          <w:rFonts w:ascii="Arial" w:cs="Arial" w:eastAsia="Arial" w:hAnsi="Arial"/>
          <w:b w:val="1"/>
          <w:bCs w:val="1"/>
          <w:sz w:val="22"/>
          <w:szCs w:val="22"/>
          <w:rtl w:val="0"/>
        </w:rPr>
        <w:t xml:space="preserve">Dataset: </w:t>
      </w:r>
      <w:r>
        <w:rPr>
          <w:rFonts w:ascii="Arial" w:cs="Arial" w:eastAsia="Arial" w:hAnsi="Arial"/>
          <w:sz w:val="22"/>
          <w:szCs w:val="22"/>
          <w:rtl w:val="0"/>
        </w:rPr>
        <w:t xml:space="preserve"> </w:t>
      </w:r>
      <w:hyperlink r:id="rIdKaggle">
        <w:r>
          <w:rPr>
            <w:rFonts w:ascii="Arial" w:cs="Arial" w:eastAsia="Arial" w:hAnsi="Arial"/>
            <w:color w:val="1155CC"/>
            <w:u w:val="single"/>
            <w:sz w:val="22"/>
            <w:szCs w:val="22"/>
            <w:rtl w:val="0"/>
          </w:rPr>
          <w:t xml:space="preserve">Health Care Dataset on Heart Attack Possibility</w:t>
        </w:r>
      </w:hyperlink>
    </w:p>
    <w:p w:rsidR="00000000" w:rsidDel="00000000" w:rsidP="00000000" w:rsidRDefault="00000000" w:rsidRPr="00000000" w14:paraId="0000002D">
      <w:pPr>
        <w:rPr>
          <w:rFonts w:ascii="Arial" w:cs="Arial" w:eastAsia="Arial" w:hAnsi="Arial"/>
          <w:sz w:val="22"/>
          <w:szCs w:val="22"/>
        </w:rPr>
      </w:pPr>
      <w:r>
        <w:rPr>
          <w:rFonts w:ascii="Arial" w:cs="Arial" w:eastAsia="Arial" w:hAnsi="Arial"/>
          <w:b w:val="1"/>
          <w:bCs w:val="1"/>
          <w:sz w:val="22"/>
          <w:szCs w:val="22"/>
          <w:rtl w:val="0"/>
        </w:rPr>
        <w:t xml:space="preserve">Variável alvo/problema a ser resolvido: </w:t>
      </w:r>
      <w:r>
        <w:rPr>
          <w:rFonts w:ascii="Arial" w:cs="Arial" w:eastAsia="Arial" w:hAnsi="Arial"/>
          <w:sz w:val="22"/>
          <w:szCs w:val="22"/>
          <w:rtl w:val="0"/>
        </w:rPr>
        <w:t xml:space="preserve"> Tendência de Ataque Cardíaco</w:t>
      </w:r>
    </w:p>
    <w:p w:rsidR="00000000" w:rsidDel="00000000" w:rsidP="00000000" w:rsidRDefault="00000000" w:rsidRPr="00000000" w14:paraId="0000002E">
      <w:pPr>
        <w:rPr>
          <w:rFonts w:ascii="Arial" w:cs="Arial" w:eastAsia="Arial" w:hAnsi="Arial"/>
          <w:sz w:val="22"/>
          <w:szCs w:val="22"/>
        </w:rPr>
      </w:pPr>
      <w:r>
        <w:rPr>
          <w:rFonts w:ascii="Arial" w:cs="Arial" w:eastAsia="Arial" w:hAnsi="Arial"/>
          <w:b w:val="1"/>
          <w:bCs w:val="1"/>
          <w:sz w:val="22"/>
          <w:szCs w:val="22"/>
          <w:rtl w:val="0"/>
        </w:rPr>
        <w:t xml:space="preserve">Caracterização dos dados</w:t>
      </w:r>
      <w:r>
        <w:rPr>
          <w:rFonts w:ascii="Arial" w:cs="Arial" w:eastAsia="Arial" w:hAnsi="Arial"/>
          <w:sz w:val="22"/>
          <w:szCs w:val="22"/>
          <w:rtl w:val="0"/>
        </w:rPr>
        <w:t xml:space="preserve">: 303 instâncias no arquivo original (302 após a remoção de 1 instância duplicada) e 13 atributos preditivos, todos utilizados: 5 numéricos (age, trestbps, chol, thalach, oldpeak), 3 binários (sex, fbs, exang), 4 categóricos nominais (cp, restecg, slope, thal) e 1 discreto ordinal (ca). O alvo é binário: 138 pacientes com doença cardíaca (45,7%) e 164 sem doença (54,3%).</w:t>
      </w:r>
    </w:p>
    <w:p w:rsidR="00000000" w:rsidDel="00000000" w:rsidP="00000000" w:rsidRDefault="00000000" w:rsidRPr="00000000" w14:paraId="0000002F">
      <w:pPr>
        <w:rPr>
          <w:rFonts w:ascii="Arial" w:cs="Arial" w:eastAsia="Arial" w:hAnsi="Arial"/>
          <w:sz w:val="22"/>
          <w:szCs w:val="22"/>
        </w:rPr>
      </w:pPr>
      <w:r>
        <w:rPr>
          <w:rtl w:val="0"/>
        </w:rPr>
      </w:r>
    </w:p>
    <w:p w:rsidR="00000000" w:rsidDel="00000000" w:rsidP="00000000" w:rsidRDefault="00000000" w:rsidRPr="00000000" w14:paraId="00000030">
      <w:pPr>
        <w:pStyle w:val="Heading1"/>
        <w:jc w:val="both"/>
        <w:rPr>
          <w:rFonts w:ascii="Arial" w:cs="Arial" w:eastAsia="Arial" w:hAnsi="Arial"/>
          <w:sz w:val="22"/>
          <w:szCs w:val="22"/>
        </w:rPr>
      </w:pPr>
      <w:r>
        <w:rPr>
          <w:rFonts w:ascii="Arial" w:cs="Arial" w:eastAsia="Arial" w:hAnsi="Arial"/>
          <w:sz w:val="22"/>
          <w:szCs w:val="22"/>
          <w:rtl w:val="0"/>
        </w:rPr>
        <w:t xml:space="preserve">2. Preparação dos dados</w:t>
      </w:r>
    </w:p>
    <w:p w:rsidR="00000000" w:rsidDel="00000000" w:rsidP="00000000" w:rsidRDefault="00000000" w:rsidRPr="00000000" w14:paraId="00000031">
      <w:pPr>
        <w:jc w:val="both"/>
        <w:rPr>
          <w:rFonts w:ascii="Arial" w:cs="Arial" w:eastAsia="Arial" w:hAnsi="Arial"/>
          <w:sz w:val="22"/>
          <w:szCs w:val="22"/>
        </w:rPr>
      </w:pPr>
      <w:r>
        <w:rPr>
          <w:rtl w:val="0"/>
        </w:rPr>
      </w:r>
    </w:p>
    <w:p w:rsidR="00000000" w:rsidDel="00000000" w:rsidP="00000000" w:rsidRDefault="00000000" w:rsidRPr="00000000" w14:paraId="00000032">
      <w:pPr>
        <w:jc w:val="both"/>
        <w:rPr>
          <w:rFonts w:ascii="Arial" w:cs="Arial" w:eastAsia="Arial" w:hAnsi="Arial"/>
          <w:sz w:val="22"/>
          <w:szCs w:val="22"/>
        </w:rPr>
      </w:pPr>
      <w:r>
        <w:rPr>
          <w:rFonts w:ascii="Arial" w:cs="Arial" w:eastAsia="Arial" w:hAnsi="Arial"/>
          <w:sz w:val="22"/>
          <w:szCs w:val="22"/>
          <w:rtl w:val="0"/>
        </w:rPr>
        <w:t xml:space="preserve">Descreva as decisões de preparação que foram necessárias para o dataset escolhido, incluindo: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2"/>
          <w:szCs w:val="22"/>
        </w:rPr>
      </w:pPr>
      <w:r>
        <w:rPr>
          <w:rFonts w:ascii="Arial" w:cs="Arial" w:eastAsia="Arial" w:hAnsi="Arial"/>
          <w:sz w:val="22"/>
          <w:szCs w:val="22"/>
          <w:rtl w:val="0"/>
        </w:rPr>
        <w:t xml:space="preserve">Atributos disponíveis e utilizados.</w:t>
      </w:r>
      <w:r>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2"/>
          <w:szCs w:val="22"/>
        </w:rPr>
      </w:pPr>
      <w:r>
        <w:rPr>
          <w:rFonts w:ascii="Arial" w:cs="Arial" w:eastAsia="Arial" w:hAnsi="Arial"/>
          <w:i w:val="0"/>
          <w:iCs w:val="0"/>
          <w:smallCaps w:val="0"/>
          <w:strike w:val="0"/>
          <w:color w:val="000000"/>
          <w:sz w:val="22"/>
          <w:szCs w:val="22"/>
          <w:u w:val="none"/>
          <w:shd w:fill="auto" w:val="clear"/>
          <w:vertAlign w:val="baseline"/>
          <w:rtl w:val="0"/>
        </w:rPr>
        <w:t xml:space="preserve">Tratamento de valores ausentes e inconsistências, quando aplicável.</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2"/>
          <w:szCs w:val="22"/>
        </w:rPr>
      </w:pPr>
      <w:r>
        <w:rPr>
          <w:rFonts w:ascii="Arial" w:cs="Arial" w:eastAsia="Arial" w:hAnsi="Arial"/>
          <w:i w:val="0"/>
          <w:iCs w:val="0"/>
          <w:smallCaps w:val="0"/>
          <w:strike w:val="0"/>
          <w:color w:val="000000"/>
          <w:sz w:val="22"/>
          <w:szCs w:val="22"/>
          <w:u w:val="none"/>
          <w:shd w:fill="auto" w:val="clear"/>
          <w:vertAlign w:val="baseline"/>
          <w:rtl w:val="0"/>
        </w:rPr>
        <w:t xml:space="preserve">Codificação e/ou transformação das variáveis.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2"/>
          <w:szCs w:val="22"/>
        </w:rPr>
      </w:pPr>
      <w:r>
        <w:rPr>
          <w:rFonts w:ascii="Arial" w:cs="Arial" w:eastAsia="Arial" w:hAnsi="Arial"/>
          <w:i w:val="0"/>
          <w:iCs w:val="0"/>
          <w:smallCaps w:val="0"/>
          <w:strike w:val="0"/>
          <w:color w:val="000000"/>
          <w:sz w:val="22"/>
          <w:szCs w:val="22"/>
          <w:u w:val="none"/>
          <w:shd w:fill="auto" w:val="clear"/>
          <w:vertAlign w:val="baseline"/>
          <w:rtl w:val="0"/>
        </w:rPr>
        <w:t xml:space="preserve">Normalização ou padronização, quando aplicável.</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sz w:val="22"/>
          <w:szCs w:val="22"/>
        </w:rPr>
      </w:pPr>
      <w:r>
        <w:rPr>
          <w:rFonts w:ascii="Arial" w:cs="Arial" w:eastAsia="Arial" w:hAnsi="Arial"/>
          <w:i w:val="0"/>
          <w:iCs w:val="0"/>
          <w:smallCaps w:val="0"/>
          <w:strike w:val="0"/>
          <w:color w:val="000000"/>
          <w:sz w:val="22"/>
          <w:szCs w:val="22"/>
          <w:u w:val="none"/>
          <w:shd w:fill="auto" w:val="clear"/>
          <w:vertAlign w:val="baseline"/>
          <w:rtl w:val="0"/>
        </w:rPr>
        <w:t xml:space="preserve">Tratamento de desbalanceamento de classes, quando aplicável.</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sz w:val="22"/>
          <w:szCs w:val="22"/>
        </w:rPr>
      </w:pPr>
      <w:r>
        <w:rPr>
          <w:rFonts w:ascii="Arial" w:cs="Arial" w:eastAsia="Arial" w:hAnsi="Arial"/>
          <w:i w:val="0"/>
          <w:iCs w:val="0"/>
          <w:smallCaps w:val="0"/>
          <w:strike w:val="0"/>
          <w:color w:val="000000"/>
          <w:sz w:val="22"/>
          <w:szCs w:val="22"/>
          <w:u w:val="none"/>
          <w:shd w:fill="auto" w:val="clear"/>
          <w:vertAlign w:val="baseline"/>
          <w:rtl w:val="0"/>
        </w:rPr>
        <w:t xml:space="preserve">Outras decisões de pré-processamento que possam afetar a comparação entre modelos.</w:t>
      </w:r>
    </w:p>
    <w:p>
      <w:pPr>
        <w:jc w:val="both"/>
        <w:rPr>
          <w:rFonts w:ascii="Arial" w:cs="Arial" w:eastAsia="Arial" w:hAnsi="Arial"/>
          <w:sz w:val="22"/>
          <w:szCs w:val="22"/>
        </w:rPr>
      </w:pPr>
      <w:r>
        <w:rPr>
          <w:rFonts w:ascii="Arial" w:cs="Arial" w:eastAsia="Arial" w:hAnsi="Arial"/>
          <w:b w:val="1"/>
          <w:bCs w:val="1"/>
          <w:sz w:val="22"/>
          <w:szCs w:val="22"/>
          <w:rtl w:val="0"/>
        </w:rPr>
        <w:t xml:space="preserve">As decisões tomadas foram:</w:t>
      </w:r>
    </w:p>
    <w:p>
      <w:pPr>
        <w:numPr>
          <w:ilvl w:val="0"/>
          <w:numId w:val="1"/>
        </w:numPr>
        <w:spacing w:after="120" w:before="0" w:line="276" w:lineRule="auto"/>
        <w:ind w:left="360" w:right="0" w:hanging="360"/>
        <w:jc w:val="both"/>
        <w:rPr>
          <w:rFonts w:ascii="Arial" w:cs="Arial" w:eastAsia="Arial" w:hAnsi="Arial"/>
          <w:sz w:val="22"/>
          <w:szCs w:val="22"/>
        </w:rPr>
      </w:pPr>
      <w:r>
        <w:rPr>
          <w:rFonts w:ascii="Arial" w:cs="Arial" w:eastAsia="Arial" w:hAnsi="Arial"/>
          <w:b w:val="1"/>
          <w:bCs w:val="1"/>
          <w:sz w:val="22"/>
          <w:szCs w:val="22"/>
          <w:rtl w:val="0"/>
        </w:rPr>
        <w:t xml:space="preserve">Atributos:</w:t>
      </w:r>
      <w:r>
        <w:rPr>
          <w:rFonts w:ascii="Arial" w:cs="Arial" w:eastAsia="Arial" w:hAnsi="Arial"/>
          <w:sz w:val="22"/>
          <w:szCs w:val="22"/>
          <w:rtl w:val="0"/>
        </w:rPr>
        <w:t xml:space="preserve"> os 13 atributos preditivos foram mantidos. Alguns atributos apresentam baixa relevância individual (correlação com o alvo), mas, como a base tem poucos atributos e essas medidas não capturam interações, nenhum atributo foi removido no spot-checking.</w:t>
      </w:r>
    </w:p>
    <w:p>
      <w:pPr>
        <w:numPr>
          <w:ilvl w:val="0"/>
          <w:numId w:val="1"/>
        </w:numPr>
        <w:spacing w:after="120" w:before="0" w:line="276" w:lineRule="auto"/>
        <w:ind w:left="360" w:right="0" w:hanging="360"/>
        <w:jc w:val="both"/>
        <w:rPr>
          <w:rFonts w:ascii="Arial" w:cs="Arial" w:eastAsia="Arial" w:hAnsi="Arial"/>
          <w:sz w:val="22"/>
          <w:szCs w:val="22"/>
        </w:rPr>
      </w:pPr>
      <w:r>
        <w:rPr>
          <w:rFonts w:ascii="Arial" w:cs="Arial" w:eastAsia="Arial" w:hAnsi="Arial"/>
          <w:b w:val="1"/>
          <w:bCs w:val="1"/>
          <w:sz w:val="22"/>
          <w:szCs w:val="22"/>
          <w:rtl w:val="0"/>
        </w:rPr>
        <w:t xml:space="preserve">Valores ausentes e inconsistências:</w:t>
      </w:r>
      <w:r>
        <w:rPr>
          <w:rFonts w:ascii="Arial" w:cs="Arial" w:eastAsia="Arial" w:hAnsi="Arial"/>
          <w:sz w:val="22"/>
          <w:szCs w:val="22"/>
          <w:rtl w:val="0"/>
        </w:rPr>
        <w:t xml:space="preserve"> não há valores ausentes explícitos, mas a comparação registro a registro com a base Cleveland original da UCI mostrou que ca = 4 (4 instâncias) e thal = 0 (2 instâncias) correspondem a valores ausentes ("?") e que a descrição de thal no Kaggle está incorreta (na prática, 1 = defeito fixo, 2 = normal, 3 = defeito reversível). Esses códigos foram convertidos em valores ausentes e imputados pela mediana, calculada apenas nos dados de treino de cada fold (para thal, nominal, a mediana coincide com a moda). Foi removida 1 instância duplicada, artefato/falha da versão do Kaggle. Adicionalmente, a mesma comparação revelou que target = 1 corresponde aos pacientes sem doença (num = 0 na UCI), ao contrário da descrição do Kaggle; por isso, o alvo foi recodificado para 1 = com doença, a classe positiva das métricas. Os outliers (trestbps, chol, thalach e oldpeak) foram mantidos por serem clinicamente plausíveis.</w:t>
      </w:r>
    </w:p>
    <w:p>
      <w:pPr>
        <w:numPr>
          <w:ilvl w:val="0"/>
          <w:numId w:val="1"/>
        </w:numPr>
        <w:spacing w:after="120" w:before="0" w:line="276" w:lineRule="auto"/>
        <w:ind w:left="360" w:right="0" w:hanging="360"/>
        <w:jc w:val="both"/>
        <w:rPr>
          <w:rFonts w:ascii="Arial" w:cs="Arial" w:eastAsia="Arial" w:hAnsi="Arial"/>
          <w:sz w:val="22"/>
          <w:szCs w:val="22"/>
        </w:rPr>
      </w:pPr>
      <w:r>
        <w:rPr>
          <w:rFonts w:ascii="Arial" w:cs="Arial" w:eastAsia="Arial" w:hAnsi="Arial"/>
          <w:b w:val="1"/>
          <w:bCs w:val="1"/>
          <w:sz w:val="22"/>
          <w:szCs w:val="22"/>
          <w:rtl w:val="0"/>
        </w:rPr>
        <w:t xml:space="preserve">Codificação:</w:t>
      </w:r>
      <w:r>
        <w:rPr>
          <w:rFonts w:ascii="Arial" w:cs="Arial" w:eastAsia="Arial" w:hAnsi="Arial"/>
          <w:sz w:val="22"/>
          <w:szCs w:val="22"/>
          <w:rtl w:val="0"/>
        </w:rPr>
        <w:t xml:space="preserve"> não foi necessário converter atributos categóricos em numéricos, pois todos já estão armazenados como números. Porém, cp, restecg, slope e thal são categorias nominais codificadas como inteiros e sem relação monotônica com o alvo; por isso recebem one-hot encoding (13 → 22 colunas), com handle_unknown="ignore" devido a categorias raras (ex.: restecg = 2). Os atributos binários e ca permanecem como estão.</w:t>
      </w:r>
    </w:p>
    <w:p>
      <w:pPr>
        <w:numPr>
          <w:ilvl w:val="0"/>
          <w:numId w:val="1"/>
        </w:numPr>
        <w:spacing w:after="120" w:before="0" w:line="276" w:lineRule="auto"/>
        <w:ind w:left="360" w:right="0" w:hanging="360"/>
        <w:jc w:val="both"/>
        <w:rPr>
          <w:rFonts w:ascii="Arial" w:cs="Arial" w:eastAsia="Arial" w:hAnsi="Arial"/>
          <w:sz w:val="22"/>
          <w:szCs w:val="22"/>
        </w:rPr>
      </w:pPr>
      <w:r>
        <w:rPr>
          <w:rFonts w:ascii="Arial" w:cs="Arial" w:eastAsia="Arial" w:hAnsi="Arial"/>
          <w:b w:val="1"/>
          <w:bCs w:val="1"/>
          <w:sz w:val="22"/>
          <w:szCs w:val="22"/>
          <w:rtl w:val="0"/>
        </w:rPr>
        <w:t xml:space="preserve">Normalização:</w:t>
      </w:r>
      <w:r>
        <w:rPr>
          <w:rFonts w:ascii="Arial" w:cs="Arial" w:eastAsia="Arial" w:hAnsi="Arial"/>
          <w:sz w:val="22"/>
          <w:szCs w:val="22"/>
          <w:rtl w:val="0"/>
        </w:rPr>
        <w:t xml:space="preserve"> as escalas são muito heterogêneas (a amplitude de chol é cerca de 71 vezes a de oldpeak), portanto os atributos numéricos e ca são padronizados (z-score, StandardScaler), o que é essencial para KNN, e ajuda a Regressão Logística e Rede Neural, que dependem do gradiente, a convergirem.</w:t>
      </w:r>
    </w:p>
    <w:p>
      <w:pPr>
        <w:numPr>
          <w:ilvl w:val="0"/>
          <w:numId w:val="1"/>
        </w:numPr>
        <w:spacing w:after="120" w:before="0" w:line="276" w:lineRule="auto"/>
        <w:ind w:left="360" w:right="0" w:hanging="360"/>
        <w:jc w:val="both"/>
        <w:rPr>
          <w:rFonts w:ascii="Arial" w:cs="Arial" w:eastAsia="Arial" w:hAnsi="Arial"/>
          <w:sz w:val="22"/>
          <w:szCs w:val="22"/>
        </w:rPr>
      </w:pPr>
      <w:r>
        <w:rPr>
          <w:rFonts w:ascii="Arial" w:cs="Arial" w:eastAsia="Arial" w:hAnsi="Arial"/>
          <w:b w:val="1"/>
          <w:bCs w:val="1"/>
          <w:sz w:val="22"/>
          <w:szCs w:val="22"/>
          <w:rtl w:val="0"/>
        </w:rPr>
        <w:t xml:space="preserve">Desbalanceamento:</w:t>
      </w:r>
      <w:r>
        <w:rPr>
          <w:rFonts w:ascii="Arial" w:cs="Arial" w:eastAsia="Arial" w:hAnsi="Arial"/>
          <w:sz w:val="22"/>
          <w:szCs w:val="22"/>
          <w:rtl w:val="0"/>
        </w:rPr>
        <w:t xml:space="preserve"> as classes estão quase balanceadas (54% vs 46%, razão ≈ 1,2) e, como consequência, decidimos não aplicar reamostragem, apenas estratificação nas divisões.</w:t>
      </w:r>
    </w:p>
    <w:p>
      <w:pPr>
        <w:numPr>
          <w:ilvl w:val="0"/>
          <w:numId w:val="1"/>
        </w:numPr>
        <w:spacing w:after="120" w:before="0" w:line="276" w:lineRule="auto"/>
        <w:ind w:left="360" w:right="0" w:hanging="360"/>
        <w:jc w:val="both"/>
        <w:rPr>
          <w:rFonts w:ascii="Arial" w:cs="Arial" w:eastAsia="Arial" w:hAnsi="Arial"/>
          <w:sz w:val="22"/>
          <w:szCs w:val="22"/>
        </w:rPr>
      </w:pPr>
      <w:r>
        <w:rPr>
          <w:rFonts w:ascii="Arial" w:cs="Arial" w:eastAsia="Arial" w:hAnsi="Arial"/>
          <w:b w:val="1"/>
          <w:bCs w:val="1"/>
          <w:sz w:val="22"/>
          <w:szCs w:val="22"/>
          <w:rtl w:val="0"/>
        </w:rPr>
        <w:t xml:space="preserve">Outras decisões:</w:t>
      </w:r>
      <w:r>
        <w:rPr>
          <w:rFonts w:ascii="Arial" w:cs="Arial" w:eastAsia="Arial" w:hAnsi="Arial"/>
          <w:sz w:val="22"/>
          <w:szCs w:val="22"/>
          <w:rtl w:val="0"/>
        </w:rPr>
        <w:t xml:space="preserve"> a remoção da duplicata e a recodificação do alvo (regras determinísticas, que não aprendem nada dos dados) são feitas antes da divisão treino/teste; a marcação dos códigos de ausência, também determinística, é aplicada logo após a divisão, igualmente a treino e teste; as etapas que aprendem parâmetros (imputação, codificação e padronização) são encapsuladas em um Pipeline, ajustado somente nos dados de treino de cada fold.</w:t>
      </w:r>
    </w:p>
    <w:p w:rsidR="00000000" w:rsidDel="00000000" w:rsidP="00000000" w:rsidRDefault="00000000" w:rsidRPr="00000000" w14:paraId="0000003B">
      <w:pPr>
        <w:pStyle w:val="Heading1"/>
        <w:jc w:val="both"/>
        <w:rPr>
          <w:rFonts w:ascii="Arial" w:cs="Arial" w:eastAsia="Arial" w:hAnsi="Arial"/>
          <w:sz w:val="22"/>
          <w:szCs w:val="22"/>
        </w:rPr>
      </w:pPr>
      <w:r>
        <w:rPr>
          <w:rFonts w:ascii="Arial" w:cs="Arial" w:eastAsia="Arial" w:hAnsi="Arial"/>
          <w:sz w:val="22"/>
          <w:szCs w:val="22"/>
          <w:rtl w:val="0"/>
        </w:rPr>
        <w:t xml:space="preserve">3. Protocolo de avaliação</w:t>
      </w:r>
    </w:p>
    <w:p w:rsidR="00000000" w:rsidDel="00000000" w:rsidP="00000000" w:rsidRDefault="00000000" w:rsidRPr="00000000" w14:paraId="0000003C">
      <w:pPr>
        <w:jc w:val="both"/>
        <w:rPr>
          <w:rFonts w:ascii="Arial" w:cs="Arial" w:eastAsia="Arial" w:hAnsi="Arial"/>
          <w:sz w:val="22"/>
          <w:szCs w:val="22"/>
        </w:rPr>
      </w:pPr>
      <w:r>
        <w:rPr>
          <w:rtl w:val="0"/>
        </w:rPr>
      </w:r>
    </w:p>
    <w:p w:rsidR="00000000" w:rsidDel="00000000" w:rsidP="00000000" w:rsidRDefault="00000000" w:rsidRPr="00000000" w14:paraId="0000003D">
      <w:pPr>
        <w:jc w:val="both"/>
        <w:rPr>
          <w:rFonts w:ascii="Arial" w:cs="Arial" w:eastAsia="Arial" w:hAnsi="Arial"/>
          <w:sz w:val="22"/>
          <w:szCs w:val="22"/>
        </w:rPr>
      </w:pPr>
      <w:r>
        <w:rPr>
          <w:rFonts w:ascii="Arial" w:cs="Arial" w:eastAsia="Arial" w:hAnsi="Arial"/>
          <w:sz w:val="22"/>
          <w:szCs w:val="22"/>
          <w:rtl w:val="0"/>
        </w:rPr>
        <w:t xml:space="preserve">Descreva como os modelos serão comparados, preenchendo a tabela abaixo. Adicione observações adicionais necessárias em um parágrafo após a tabela.</w:t>
      </w:r>
    </w:p>
    <w:tbl>
      <w:tblPr>
        <w:tblStyle w:val="Table2"/>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p w:rsidR="00000000" w:rsidDel="00000000" w:rsidP="00000000" w:rsidRDefault="00000000" w:rsidRPr="00000000" w14:paraId="0000003E">
            <w:pPr>
              <w:jc w:val="both"/>
              <w:rPr>
                <w:rFonts w:ascii="Arial" w:cs="Arial" w:eastAsia="Arial" w:hAnsi="Arial"/>
                <w:sz w:val="22"/>
                <w:szCs w:val="22"/>
              </w:rPr>
            </w:pPr>
            <w:r>
              <w:rPr>
                <w:rFonts w:ascii="Arial" w:cs="Arial" w:eastAsia="Arial" w:hAnsi="Arial"/>
                <w:b w:val="1"/>
                <w:bCs w:val="1"/>
                <w:sz w:val="22"/>
                <w:szCs w:val="22"/>
                <w:rtl w:val="0"/>
              </w:rPr>
              <w:t xml:space="preserve">Tarefa</w:t>
            </w:r>
            <w:r>
              <w:rPr>
                <w:rtl w:val="0"/>
              </w:rPr>
            </w:r>
          </w:p>
        </w:tc>
        <w:tc>
          <w:tcPr/>
          <w:p w:rsidR="00000000" w:rsidDel="00000000" w:rsidP="00000000" w:rsidRDefault="00000000" w:rsidRPr="00000000" w14:paraId="0000003F">
            <w:pPr>
              <w:jc w:val="both"/>
              <w:rPr>
                <w:rFonts w:ascii="Arial" w:cs="Arial" w:eastAsia="Arial" w:hAnsi="Arial"/>
                <w:sz w:val="22"/>
                <w:szCs w:val="22"/>
              </w:rPr>
            </w:pPr>
            <w:r>
              <w:rPr>
                <w:rFonts w:ascii="Arial" w:cs="Arial" w:eastAsia="Arial" w:hAnsi="Arial"/>
                <w:sz w:val="22"/>
                <w:szCs w:val="22"/>
                <w:rtl w:val="0"/>
              </w:rPr>
              <w:t xml:space="preserve">Classificação (binária)</w:t>
            </w:r>
          </w:p>
        </w:tc>
      </w:tr>
      <w:tr>
        <w:trPr>
          <w:cantSplit w:val="0"/>
          <w:tblHeader w:val="0"/>
        </w:trPr>
        <w:tc>
          <w:tcPr/>
          <w:p w:rsidR="00000000" w:rsidDel="00000000" w:rsidP="00000000" w:rsidRDefault="00000000" w:rsidRPr="00000000" w14:paraId="00000040">
            <w:pPr>
              <w:jc w:val="both"/>
              <w:rPr>
                <w:rFonts w:ascii="Arial" w:cs="Arial" w:eastAsia="Arial" w:hAnsi="Arial"/>
                <w:sz w:val="22"/>
                <w:szCs w:val="22"/>
              </w:rPr>
            </w:pPr>
            <w:r>
              <w:rPr>
                <w:rFonts w:ascii="Arial" w:cs="Arial" w:eastAsia="Arial" w:hAnsi="Arial"/>
                <w:b w:val="1"/>
                <w:bCs w:val="1"/>
                <w:sz w:val="22"/>
                <w:szCs w:val="22"/>
                <w:rtl w:val="0"/>
              </w:rPr>
              <w:t xml:space="preserve">Métrica principal</w:t>
            </w:r>
            <w:r>
              <w:rPr>
                <w:rtl w:val="0"/>
              </w:rPr>
            </w:r>
          </w:p>
        </w:tc>
        <w:tc>
          <w:tcPr/>
          <w:p w:rsidR="00000000" w:rsidDel="00000000" w:rsidP="00000000" w:rsidRDefault="00000000" w:rsidRPr="00000000" w14:paraId="00000041">
            <w:pPr>
              <w:jc w:val="both"/>
              <w:rPr>
                <w:rFonts w:ascii="Arial" w:cs="Arial" w:eastAsia="Arial" w:hAnsi="Arial"/>
                <w:sz w:val="22"/>
                <w:szCs w:val="22"/>
              </w:rPr>
            </w:pPr>
            <w:r>
              <w:rPr>
                <w:rFonts w:ascii="Arial" w:cs="Arial" w:eastAsia="Arial" w:hAnsi="Arial"/>
                <w:sz w:val="22"/>
                <w:szCs w:val="22"/>
                <w:rtl w:val="0"/>
              </w:rPr>
              <w:t xml:space="preserve">F1-score da classe positiva (com doença). A métrica é adequada para o problema pois, à medida que combina precisão e recall, penaliza tanto deixar de identificar pacientes doentes (falsos negativos) quanto alarmes falsos.</w:t>
            </w:r>
          </w:p>
        </w:tc>
      </w:tr>
      <w:tr>
        <w:trPr>
          <w:cantSplit w:val="0"/>
          <w:tblHeader w:val="0"/>
        </w:trPr>
        <w:tc>
          <w:tcPr/>
          <w:p w:rsidR="00000000" w:rsidDel="00000000" w:rsidP="00000000" w:rsidRDefault="00000000" w:rsidRPr="00000000" w14:paraId="00000042">
            <w:pPr>
              <w:jc w:val="both"/>
              <w:rPr>
                <w:rFonts w:ascii="Arial" w:cs="Arial" w:eastAsia="Arial" w:hAnsi="Arial"/>
                <w:sz w:val="22"/>
                <w:szCs w:val="22"/>
              </w:rPr>
            </w:pPr>
            <w:r>
              <w:rPr>
                <w:rFonts w:ascii="Arial" w:cs="Arial" w:eastAsia="Arial" w:hAnsi="Arial"/>
                <w:b w:val="1"/>
                <w:bCs w:val="1"/>
                <w:sz w:val="22"/>
                <w:szCs w:val="22"/>
                <w:rtl w:val="0"/>
              </w:rPr>
              <w:t xml:space="preserve">Métricas avaliadas</w:t>
            </w:r>
            <w:r>
              <w:rPr>
                <w:rtl w:val="0"/>
              </w:rPr>
            </w:r>
          </w:p>
        </w:tc>
        <w:tc>
          <w:tcPr/>
          <w:p w:rsidR="00000000" w:rsidDel="00000000" w:rsidP="00000000" w:rsidRDefault="00000000" w:rsidRPr="00000000" w14:paraId="00000043">
            <w:pPr>
              <w:jc w:val="both"/>
              <w:rPr>
                <w:rFonts w:ascii="Arial" w:cs="Arial" w:eastAsia="Arial" w:hAnsi="Arial"/>
                <w:sz w:val="22"/>
                <w:szCs w:val="22"/>
              </w:rPr>
            </w:pPr>
            <w:r>
              <w:rPr>
                <w:rFonts w:ascii="Arial" w:cs="Arial" w:eastAsia="Arial" w:hAnsi="Arial"/>
                <w:sz w:val="22"/>
                <w:szCs w:val="22"/>
                <w:rtl w:val="0"/>
              </w:rPr>
              <w:t xml:space="preserve">F1 (principal), acurácia, precisão, recall e ROC-AUC.</w:t>
            </w:r>
          </w:p>
        </w:tc>
      </w:tr>
      <w:tr>
        <w:trPr>
          <w:cantSplit w:val="0"/>
          <w:tblHeader w:val="0"/>
        </w:trPr>
        <w:tc>
          <w:tcPr/>
          <w:p w:rsidR="00000000" w:rsidDel="00000000" w:rsidP="00000000" w:rsidRDefault="00000000" w:rsidRPr="00000000" w14:paraId="00000044">
            <w:pPr>
              <w:jc w:val="both"/>
              <w:rPr>
                <w:rFonts w:ascii="Arial" w:cs="Arial" w:eastAsia="Arial" w:hAnsi="Arial"/>
                <w:sz w:val="22"/>
                <w:szCs w:val="22"/>
              </w:rPr>
            </w:pPr>
            <w:r>
              <w:rPr>
                <w:rFonts w:ascii="Arial" w:cs="Arial" w:eastAsia="Arial" w:hAnsi="Arial"/>
                <w:b w:val="1"/>
                <w:bCs w:val="1"/>
                <w:sz w:val="22"/>
                <w:szCs w:val="22"/>
                <w:rtl w:val="0"/>
              </w:rPr>
              <w:t xml:space="preserve">Particionamento dos dados</w:t>
            </w:r>
            <w:r>
              <w:rPr>
                <w:rtl w:val="0"/>
              </w:rPr>
            </w:r>
          </w:p>
        </w:tc>
        <w:tc>
          <w:tcPr/>
          <w:p w:rsidR="00000000" w:rsidDel="00000000" w:rsidP="00000000" w:rsidRDefault="00000000" w:rsidRPr="00000000" w14:paraId="00000045">
            <w:pPr>
              <w:jc w:val="both"/>
              <w:rPr>
                <w:rFonts w:ascii="Arial" w:cs="Arial" w:eastAsia="Arial" w:hAnsi="Arial"/>
                <w:sz w:val="22"/>
                <w:szCs w:val="22"/>
              </w:rPr>
            </w:pPr>
            <w:r>
              <w:rPr>
                <w:rFonts w:ascii="Arial" w:cs="Arial" w:eastAsia="Arial" w:hAnsi="Arial"/>
                <w:sz w:val="22"/>
                <w:szCs w:val="22"/>
                <w:rtl w:val="0"/>
              </w:rPr>
              <w:t xml:space="preserve">Holdout estratificado pelo alvo: 80% para treino (241 instâncias) e 20% para teste (61 instâncias), com random_state = 42. O spot-checking usa apenas o conjunto de treino; o teste fica reservado para a avaliação final no T2.</w:t>
            </w:r>
          </w:p>
        </w:tc>
      </w:tr>
      <w:tr>
        <w:trPr>
          <w:cantSplit w:val="0"/>
          <w:tblHeader w:val="0"/>
        </w:trPr>
        <w:tc>
          <w:tcPr/>
          <w:p w:rsidR="00000000" w:rsidDel="00000000" w:rsidP="00000000" w:rsidRDefault="00000000" w:rsidRPr="00000000" w14:paraId="00000046">
            <w:pPr>
              <w:jc w:val="both"/>
              <w:rPr>
                <w:rFonts w:ascii="Arial" w:cs="Arial" w:eastAsia="Arial" w:hAnsi="Arial"/>
                <w:sz w:val="22"/>
                <w:szCs w:val="22"/>
              </w:rPr>
            </w:pPr>
            <w:r>
              <w:rPr>
                <w:rFonts w:ascii="Arial" w:cs="Arial" w:eastAsia="Arial" w:hAnsi="Arial"/>
                <w:b w:val="1"/>
                <w:bCs w:val="1"/>
                <w:sz w:val="22"/>
                <w:szCs w:val="22"/>
                <w:rtl w:val="0"/>
              </w:rPr>
              <w:t xml:space="preserve">Estratégia de validação</w:t>
            </w:r>
            <w:r>
              <w:rPr>
                <w:rtl w:val="0"/>
              </w:rPr>
            </w:r>
          </w:p>
        </w:tc>
        <w:tc>
          <w:tcPr/>
          <w:p w:rsidR="00000000" w:rsidDel="00000000" w:rsidP="00000000" w:rsidRDefault="00000000" w:rsidRPr="00000000" w14:paraId="00000047">
            <w:pPr>
              <w:jc w:val="both"/>
              <w:rPr>
                <w:rFonts w:ascii="Arial" w:cs="Arial" w:eastAsia="Arial" w:hAnsi="Arial"/>
                <w:sz w:val="22"/>
                <w:szCs w:val="22"/>
              </w:rPr>
            </w:pPr>
            <w:r>
              <w:rPr>
                <w:rFonts w:ascii="Arial" w:cs="Arial" w:eastAsia="Arial" w:hAnsi="Arial"/>
                <w:sz w:val="22"/>
                <w:szCs w:val="22"/>
                <w:rtl w:val="0"/>
              </w:rPr>
              <w:t xml:space="preserve">Validação cruzada estratificada repetida no conjunto de treino (RepeatedStratifiedKFold): 5 folds × 10 repetições = 50 avaliações por algoritmo, com random_state = 42. Não foi usado nested CV, pois não há otimização de hiperparâmetros no T1.</w:t>
            </w:r>
          </w:p>
        </w:tc>
      </w:tr>
      <w:tr>
        <w:trPr>
          <w:cantSplit w:val="0"/>
          <w:tblHeader w:val="0"/>
        </w:trPr>
        <w:tc>
          <w:tcPr/>
          <w:p w:rsidR="00000000" w:rsidDel="00000000" w:rsidP="00000000" w:rsidRDefault="00000000" w:rsidRPr="00000000" w14:paraId="00000048">
            <w:pPr>
              <w:jc w:val="both"/>
              <w:rPr>
                <w:rFonts w:ascii="Arial" w:cs="Arial" w:eastAsia="Arial" w:hAnsi="Arial"/>
                <w:sz w:val="22"/>
                <w:szCs w:val="22"/>
              </w:rPr>
            </w:pPr>
            <w:r>
              <w:rPr>
                <w:rFonts w:ascii="Arial" w:cs="Arial" w:eastAsia="Arial" w:hAnsi="Arial"/>
                <w:b w:val="1"/>
                <w:bCs w:val="1"/>
                <w:sz w:val="22"/>
                <w:szCs w:val="22"/>
                <w:rtl w:val="0"/>
              </w:rPr>
              <w:t xml:space="preserve">Tratamento do desbalanceamento de classes</w:t>
            </w:r>
            <w:r>
              <w:rPr>
                <w:rtl w:val="0"/>
              </w:rPr>
            </w:r>
          </w:p>
        </w:tc>
        <w:tc>
          <w:tcPr/>
          <w:p w:rsidR="00000000" w:rsidDel="00000000" w:rsidP="00000000" w:rsidRDefault="00000000" w:rsidRPr="00000000" w14:paraId="00000049">
            <w:pPr>
              <w:jc w:val="both"/>
              <w:rPr>
                <w:rFonts w:ascii="Arial" w:cs="Arial" w:eastAsia="Arial" w:hAnsi="Arial"/>
                <w:sz w:val="22"/>
                <w:szCs w:val="22"/>
              </w:rPr>
            </w:pPr>
            <w:r>
              <w:rPr>
                <w:rFonts w:ascii="Arial" w:cs="Arial" w:eastAsia="Arial" w:hAnsi="Arial"/>
                <w:sz w:val="22"/>
                <w:szCs w:val="22"/>
                <w:rtl w:val="0"/>
              </w:rPr>
              <w:t xml:space="preserve">Não fizemos, visto que as classes são quase balanceadas (54,4% sem doença vs 45,6% com doença no treino; razão ≈ 1,2). Todas as divisões são estratificadas para preservar essa proporção.</w:t>
            </w:r>
          </w:p>
        </w:tc>
      </w:tr>
      <w:tr>
        <w:trPr>
          <w:cantSplit w:val="0"/>
          <w:tblHeader w:val="0"/>
        </w:trPr>
        <w:tc>
          <w:tcPr/>
          <w:p w:rsidR="00000000" w:rsidDel="00000000" w:rsidP="00000000" w:rsidRDefault="00000000" w:rsidRPr="00000000" w14:paraId="0000004A">
            <w:pPr>
              <w:jc w:val="both"/>
              <w:rPr>
                <w:rFonts w:ascii="Arial" w:cs="Arial" w:eastAsia="Arial" w:hAnsi="Arial"/>
                <w:sz w:val="22"/>
                <w:szCs w:val="22"/>
              </w:rPr>
            </w:pPr>
            <w:r>
              <w:rPr>
                <w:rFonts w:ascii="Arial" w:cs="Arial" w:eastAsia="Arial" w:hAnsi="Arial"/>
                <w:b w:val="1"/>
                <w:bCs w:val="1"/>
                <w:sz w:val="22"/>
                <w:szCs w:val="22"/>
                <w:rtl w:val="0"/>
              </w:rPr>
              <w:t xml:space="preserve">Critério de comparação</w:t>
            </w:r>
            <w:r>
              <w:rPr>
                <w:rtl w:val="0"/>
              </w:rPr>
            </w:r>
          </w:p>
        </w:tc>
        <w:tc>
          <w:tcPr/>
          <w:p w:rsidR="00000000" w:rsidDel="00000000" w:rsidP="00000000" w:rsidRDefault="00000000" w:rsidRPr="00000000" w14:paraId="0000004B">
            <w:pPr>
              <w:jc w:val="both"/>
              <w:rPr>
                <w:rFonts w:ascii="Arial" w:cs="Arial" w:eastAsia="Arial" w:hAnsi="Arial"/>
                <w:sz w:val="22"/>
                <w:szCs w:val="22"/>
              </w:rPr>
            </w:pPr>
            <w:r>
              <w:rPr>
                <w:rFonts w:ascii="Arial" w:cs="Arial" w:eastAsia="Arial" w:hAnsi="Arial"/>
                <w:sz w:val="22"/>
                <w:szCs w:val="22"/>
                <w:rtl w:val="0"/>
              </w:rPr>
              <w:t xml:space="preserve">Média e desvio padrão do F1 nas 50 avaliações (as mesmas divisões para todos os algoritmos), complementados por boxplots da distribuição do F1. Só usamos as métricas secundárias para auxiliar a interpretação quando as diferenças de F1 são pequenas em relação ao desvio padrão.</w:t>
            </w:r>
          </w:p>
        </w:tc>
      </w:tr>
      <w:tr>
        <w:trPr>
          <w:cantSplit w:val="0"/>
          <w:tblHeader w:val="0"/>
        </w:trPr>
        <w:tc>
          <w:tcPr/>
          <w:p w:rsidR="00000000" w:rsidDel="00000000" w:rsidP="00000000" w:rsidRDefault="00000000" w:rsidRPr="00000000" w14:paraId="0000004C">
            <w:pPr>
              <w:jc w:val="both"/>
              <w:rPr>
                <w:rFonts w:ascii="Arial" w:cs="Arial" w:eastAsia="Arial" w:hAnsi="Arial"/>
                <w:b w:val="1"/>
                <w:bCs w:val="1"/>
                <w:sz w:val="22"/>
                <w:szCs w:val="22"/>
              </w:rPr>
            </w:pPr>
            <w:r>
              <w:rPr>
                <w:rFonts w:ascii="Arial" w:cs="Arial" w:eastAsia="Arial" w:hAnsi="Arial"/>
                <w:b w:val="1"/>
                <w:bCs w:val="1"/>
                <w:sz w:val="22"/>
                <w:szCs w:val="22"/>
                <w:rtl w:val="0"/>
              </w:rPr>
              <w:t xml:space="preserve">Estratégias contra data leakage</w:t>
            </w:r>
          </w:p>
        </w:tc>
        <w:tc>
          <w:tcPr/>
          <w:p w:rsidR="00000000" w:rsidDel="00000000" w:rsidP="00000000" w:rsidRDefault="00000000" w:rsidRPr="00000000" w14:paraId="0000004D">
            <w:pPr>
              <w:jc w:val="both"/>
              <w:rPr>
                <w:rFonts w:ascii="Arial" w:cs="Arial" w:eastAsia="Arial" w:hAnsi="Arial"/>
                <w:sz w:val="22"/>
                <w:szCs w:val="22"/>
              </w:rPr>
            </w:pPr>
            <w:r>
              <w:rPr>
                <w:rFonts w:ascii="Arial" w:cs="Arial" w:eastAsia="Arial" w:hAnsi="Arial"/>
                <w:sz w:val="22"/>
                <w:szCs w:val="22"/>
                <w:rtl w:val="0"/>
              </w:rPr>
              <w:t xml:space="preserve">Removemos a duplicata antes da divisão (evitando a mesma instância em treino e teste), realizamos a imputação, one-hot encoding e padronização encapsuladas em um Pipeline do scikit-learn, reajustando apenas nos dados de treino de cada fold, e o conjunto de teste não foi utilizado no T1.</w:t>
            </w:r>
          </w:p>
        </w:tc>
      </w:tr>
    </w:tbl>
    <w:p w:rsidR="00000000" w:rsidDel="00000000" w:rsidP="00000000" w:rsidRDefault="00000000" w:rsidRPr="00000000" w14:paraId="0000004E">
      <w:pPr>
        <w:pStyle w:val="Heading1"/>
        <w:jc w:val="both"/>
        <w:rPr>
          <w:rFonts w:ascii="Arial" w:cs="Arial" w:eastAsia="Arial" w:hAnsi="Arial"/>
          <w:sz w:val="22"/>
          <w:szCs w:val="22"/>
        </w:rPr>
      </w:pPr>
      <w:r>
        <w:rPr>
          <w:rFonts w:ascii="Arial" w:cs="Arial" w:eastAsia="Arial" w:hAnsi="Arial"/>
          <w:sz w:val="22"/>
          <w:szCs w:val="22"/>
          <w:rtl w:val="0"/>
        </w:rPr>
        <w:t xml:space="preserve">4. Execução do Spot-Checking</w:t>
      </w:r>
    </w:p>
    <w:p w:rsidR="00000000" w:rsidDel="00000000" w:rsidP="00000000" w:rsidRDefault="00000000" w:rsidRPr="00000000" w14:paraId="0000004F">
      <w:pPr>
        <w:jc w:val="both"/>
        <w:rPr>
          <w:rFonts w:ascii="Arial" w:cs="Arial" w:eastAsia="Arial" w:hAnsi="Arial"/>
          <w:sz w:val="22"/>
          <w:szCs w:val="22"/>
        </w:rPr>
      </w:pPr>
      <w:r>
        <w:rPr>
          <w:rtl w:val="0"/>
        </w:rPr>
      </w:r>
    </w:p>
    <w:p w:rsidR="00000000" w:rsidDel="00000000" w:rsidP="00000000" w:rsidRDefault="00000000" w:rsidRPr="00000000" w14:paraId="00000050">
      <w:pPr>
        <w:jc w:val="both"/>
        <w:rPr>
          <w:rFonts w:ascii="Arial" w:cs="Arial" w:eastAsia="Arial" w:hAnsi="Arial"/>
          <w:sz w:val="22"/>
          <w:szCs w:val="22"/>
        </w:rPr>
      </w:pPr>
      <w:r>
        <w:rPr>
          <w:rFonts w:ascii="Arial" w:cs="Arial" w:eastAsia="Arial" w:hAnsi="Arial"/>
          <w:sz w:val="22"/>
          <w:szCs w:val="22"/>
          <w:rtl w:val="0"/>
        </w:rPr>
        <w:t xml:space="preserve">Liste os algoritmos avaliados e registre, de forma sucinta, as configurações dos hiperparâmetros utilizadas. O objetivo desta etapa é identificar modelos promissores para investigação mais aprofundada no T2.</w:t>
      </w:r>
    </w:p>
    <w:tbl>
      <w:tblPr>
        <w:tblStyle w:val="Table3"/>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p w:rsidR="00000000" w:rsidDel="00000000" w:rsidP="00000000" w:rsidRDefault="00000000" w:rsidRPr="00000000" w14:paraId="00000051">
            <w:pPr>
              <w:jc w:val="both"/>
              <w:rPr>
                <w:rFonts w:ascii="Arial" w:cs="Arial" w:eastAsia="Arial" w:hAnsi="Arial"/>
                <w:sz w:val="22"/>
                <w:szCs w:val="22"/>
              </w:rPr>
            </w:pPr>
            <w:r>
              <w:rPr>
                <w:rFonts w:ascii="Arial" w:cs="Arial" w:eastAsia="Arial" w:hAnsi="Arial"/>
                <w:b w:val="1"/>
                <w:bCs w:val="1"/>
                <w:sz w:val="22"/>
                <w:szCs w:val="22"/>
                <w:rtl w:val="0"/>
              </w:rPr>
              <w:t xml:space="preserve">Modelo</w:t>
            </w:r>
            <w:r>
              <w:rPr>
                <w:rtl w:val="0"/>
              </w:rPr>
            </w:r>
          </w:p>
        </w:tc>
        <w:tc>
          <w:tcPr/>
          <w:p w:rsidR="00000000" w:rsidDel="00000000" w:rsidP="00000000" w:rsidRDefault="00000000" w:rsidRPr="00000000" w14:paraId="00000052">
            <w:pPr>
              <w:jc w:val="both"/>
              <w:rPr>
                <w:rFonts w:ascii="Arial" w:cs="Arial" w:eastAsia="Arial" w:hAnsi="Arial"/>
                <w:sz w:val="22"/>
                <w:szCs w:val="22"/>
              </w:rPr>
            </w:pPr>
            <w:r>
              <w:rPr>
                <w:rFonts w:ascii="Arial" w:cs="Arial" w:eastAsia="Arial" w:hAnsi="Arial"/>
                <w:b w:val="1"/>
                <w:bCs w:val="1"/>
                <w:sz w:val="22"/>
                <w:szCs w:val="22"/>
                <w:rtl w:val="0"/>
              </w:rPr>
              <w:t xml:space="preserve">Configuração utilizada</w:t>
            </w:r>
            <w:r>
              <w:rPr>
                <w:rtl w:val="0"/>
              </w:rPr>
            </w:r>
          </w:p>
        </w:tc>
        <w:tc>
          <w:tcPr/>
          <w:p w:rsidR="00000000" w:rsidDel="00000000" w:rsidP="00000000" w:rsidRDefault="00000000" w:rsidRPr="00000000" w14:paraId="00000053">
            <w:pPr>
              <w:jc w:val="both"/>
              <w:rPr>
                <w:rFonts w:ascii="Arial" w:cs="Arial" w:eastAsia="Arial" w:hAnsi="Arial"/>
                <w:sz w:val="22"/>
                <w:szCs w:val="22"/>
              </w:rPr>
            </w:pPr>
            <w:r>
              <w:rPr>
                <w:rFonts w:ascii="Arial" w:cs="Arial" w:eastAsia="Arial" w:hAnsi="Arial"/>
                <w:b w:val="1"/>
                <w:bCs w:val="1"/>
                <w:sz w:val="22"/>
                <w:szCs w:val="22"/>
                <w:rtl w:val="0"/>
              </w:rPr>
              <w:t xml:space="preserve">Motivo da inclusão</w:t>
            </w:r>
            <w:r>
              <w:rPr>
                <w:rtl w:val="0"/>
              </w:rPr>
            </w:r>
          </w:p>
        </w:tc>
        <w:tc>
          <w:tcPr/>
          <w:p w:rsidR="00000000" w:rsidDel="00000000" w:rsidP="00000000" w:rsidRDefault="00000000" w:rsidRPr="00000000" w14:paraId="00000054">
            <w:pPr>
              <w:jc w:val="both"/>
              <w:rPr>
                <w:rFonts w:ascii="Arial" w:cs="Arial" w:eastAsia="Arial" w:hAnsi="Arial"/>
                <w:sz w:val="22"/>
                <w:szCs w:val="22"/>
              </w:rPr>
            </w:pPr>
            <w:r>
              <w:rPr>
                <w:rFonts w:ascii="Arial" w:cs="Arial" w:eastAsia="Arial" w:hAnsi="Arial"/>
                <w:b w:val="1"/>
                <w:bCs w:val="1"/>
                <w:sz w:val="22"/>
                <w:szCs w:val="22"/>
                <w:rtl w:val="0"/>
              </w:rPr>
              <w:t xml:space="preserve">Observações</w:t>
            </w:r>
            <w:r>
              <w:rPr>
                <w:rtl w:val="0"/>
              </w:rPr>
            </w:r>
          </w:p>
        </w:tc>
      </w:tr>
      <w:tr>
        <w:trPr>
          <w:cantSplit w:val="0"/>
          <w:tblHeader w:val="0"/>
        </w:trPr>
        <w:tc>
          <w:tcPr>
            <w:tcW w:w="2436" w:type="dxa"/>
          </w:tcPr>
          <w:p>
            <w:pPr>
              <w:jc w:val="both"/>
              <w:rPr>
                <w:rFonts w:ascii="Arial" w:cs="Arial" w:eastAsia="Arial" w:hAnsi="Arial"/>
                <w:sz w:val="22"/>
                <w:szCs w:val="22"/>
              </w:rPr>
            </w:pPr>
            <w:r>
              <w:rPr>
                <w:rFonts w:ascii="Arial" w:cs="Arial" w:eastAsia="Arial" w:hAnsi="Arial"/>
                <w:sz w:val="22"/>
                <w:szCs w:val="22"/>
                <w:rtl w:val="0"/>
              </w:rPr>
              <w:t xml:space="preserve">KNN</w:t>
            </w:r>
          </w:p>
        </w:tc>
        <w:tc>
          <w:tcPr>
            <w:tcW w:w="2436" w:type="dxa"/>
          </w:tcPr>
          <w:p>
            <w:pPr>
              <w:jc w:val="both"/>
              <w:rPr>
                <w:rFonts w:ascii="Arial" w:cs="Arial" w:eastAsia="Arial" w:hAnsi="Arial"/>
                <w:sz w:val="22"/>
                <w:szCs w:val="22"/>
              </w:rPr>
            </w:pPr>
            <w:r>
              <w:rPr>
                <w:rFonts w:ascii="Arial" w:cs="Arial" w:eastAsia="Arial" w:hAnsi="Arial"/>
                <w:sz w:val="22"/>
                <w:szCs w:val="22"/>
                <w:rtl w:val="0"/>
              </w:rPr>
              <w:t xml:space="preserve">Padrão: n_neighbors = 5, distância euclidiana, pesos uniformes.</w:t>
            </w:r>
          </w:p>
        </w:tc>
        <w:tc>
          <w:tcPr>
            <w:tcW w:w="2436" w:type="dxa"/>
          </w:tcPr>
          <w:p>
            <w:pPr>
              <w:jc w:val="both"/>
              <w:rPr>
                <w:rFonts w:ascii="Arial" w:cs="Arial" w:eastAsia="Arial" w:hAnsi="Arial"/>
                <w:sz w:val="22"/>
                <w:szCs w:val="22"/>
              </w:rPr>
            </w:pPr>
            <w:r>
              <w:rPr>
                <w:rFonts w:ascii="Arial" w:cs="Arial" w:eastAsia="Arial" w:hAnsi="Arial"/>
                <w:sz w:val="22"/>
                <w:szCs w:val="22"/>
                <w:rtl w:val="0"/>
              </w:rPr>
              <w:t xml:space="preserve">Visto em aula e por ser baseado em instâncias e "preguiçoso".</w:t>
            </w:r>
          </w:p>
        </w:tc>
        <w:tc>
          <w:tcPr>
            <w:tcW w:w="2436" w:type="dxa"/>
          </w:tcPr>
          <w:p>
            <w:pPr>
              <w:jc w:val="both"/>
              <w:rPr>
                <w:rFonts w:ascii="Arial" w:cs="Arial" w:eastAsia="Arial" w:hAnsi="Arial"/>
                <w:sz w:val="22"/>
                <w:szCs w:val="22"/>
              </w:rPr>
            </w:pPr>
            <w:r>
              <w:rPr>
                <w:rFonts w:ascii="Arial" w:cs="Arial" w:eastAsia="Arial" w:hAnsi="Arial"/>
                <w:sz w:val="22"/>
                <w:szCs w:val="22"/>
                <w:rtl w:val="0"/>
              </w:rPr>
              <w:t xml:space="preserve">Sensível à escala: depende da padronização e do one-hot.</w:t>
            </w:r>
          </w:p>
        </w:tc>
      </w:tr>
      <w:tr>
        <w:trPr>
          <w:cantSplit w:val="0"/>
          <w:tblHeader w:val="0"/>
        </w:trPr>
        <w:tc>
          <w:tcPr>
            <w:tcW w:w="2436" w:type="dxa"/>
          </w:tcPr>
          <w:p>
            <w:pPr>
              <w:jc w:val="both"/>
              <w:rPr>
                <w:rFonts w:ascii="Arial" w:cs="Arial" w:eastAsia="Arial" w:hAnsi="Arial"/>
                <w:sz w:val="22"/>
                <w:szCs w:val="22"/>
              </w:rPr>
            </w:pPr>
            <w:r>
              <w:rPr>
                <w:rFonts w:ascii="Arial" w:cs="Arial" w:eastAsia="Arial" w:hAnsi="Arial"/>
                <w:sz w:val="22"/>
                <w:szCs w:val="22"/>
                <w:rtl w:val="0"/>
              </w:rPr>
              <w:t xml:space="preserve">Árvore de Decisão</w:t>
            </w:r>
          </w:p>
        </w:tc>
        <w:tc>
          <w:tcPr>
            <w:tcW w:w="2436" w:type="dxa"/>
          </w:tcPr>
          <w:p>
            <w:pPr>
              <w:jc w:val="both"/>
              <w:rPr>
                <w:rFonts w:ascii="Arial" w:cs="Arial" w:eastAsia="Arial" w:hAnsi="Arial"/>
                <w:sz w:val="22"/>
                <w:szCs w:val="22"/>
              </w:rPr>
            </w:pPr>
            <w:r>
              <w:rPr>
                <w:rFonts w:ascii="Arial" w:cs="Arial" w:eastAsia="Arial" w:hAnsi="Arial"/>
                <w:sz w:val="22"/>
                <w:szCs w:val="22"/>
                <w:rtl w:val="0"/>
              </w:rPr>
              <w:t xml:space="preserve">Padrão: critério Gini, sem poda (max_depth = None), random_state = 42.</w:t>
            </w:r>
          </w:p>
        </w:tc>
        <w:tc>
          <w:tcPr>
            <w:tcW w:w="2436" w:type="dxa"/>
          </w:tcPr>
          <w:p>
            <w:pPr>
              <w:jc w:val="both"/>
              <w:rPr>
                <w:rFonts w:ascii="Arial" w:cs="Arial" w:eastAsia="Arial" w:hAnsi="Arial"/>
                <w:sz w:val="22"/>
                <w:szCs w:val="22"/>
              </w:rPr>
            </w:pPr>
            <w:r>
              <w:rPr>
                <w:rFonts w:ascii="Arial" w:cs="Arial" w:eastAsia="Arial" w:hAnsi="Arial"/>
                <w:sz w:val="22"/>
                <w:szCs w:val="22"/>
                <w:rtl w:val="0"/>
              </w:rPr>
              <w:t xml:space="preserve">Visto em aula e por ser simbólico, não linear e interpretável; referência para os ensembles de árvores.</w:t>
            </w:r>
          </w:p>
        </w:tc>
        <w:tc>
          <w:tcPr>
            <w:tcW w:w="2436" w:type="dxa"/>
          </w:tcPr>
          <w:p>
            <w:pPr>
              <w:jc w:val="both"/>
              <w:rPr>
                <w:rFonts w:ascii="Arial" w:cs="Arial" w:eastAsia="Arial" w:hAnsi="Arial"/>
                <w:sz w:val="22"/>
                <w:szCs w:val="22"/>
              </w:rPr>
            </w:pPr>
            <w:r>
              <w:rPr>
                <w:rFonts w:ascii="Arial" w:cs="Arial" w:eastAsia="Arial" w:hAnsi="Arial"/>
                <w:sz w:val="22"/>
                <w:szCs w:val="22"/>
                <w:rtl w:val="0"/>
              </w:rPr>
              <w:t xml:space="preserve">Sem poda, tende a sobreajustar (alta variância).</w:t>
            </w:r>
          </w:p>
        </w:tc>
      </w:tr>
      <w:tr>
        <w:trPr>
          <w:cantSplit w:val="0"/>
          <w:tblHeader w:val="0"/>
        </w:trPr>
        <w:tc>
          <w:tcPr>
            <w:tcW w:w="2436" w:type="dxa"/>
          </w:tcPr>
          <w:p>
            <w:pPr>
              <w:jc w:val="both"/>
              <w:rPr>
                <w:rFonts w:ascii="Arial" w:cs="Arial" w:eastAsia="Arial" w:hAnsi="Arial"/>
                <w:sz w:val="22"/>
                <w:szCs w:val="22"/>
              </w:rPr>
            </w:pPr>
            <w:r>
              <w:rPr>
                <w:rFonts w:ascii="Arial" w:cs="Arial" w:eastAsia="Arial" w:hAnsi="Arial"/>
                <w:sz w:val="22"/>
                <w:szCs w:val="22"/>
                <w:rtl w:val="0"/>
              </w:rPr>
              <w:t xml:space="preserve">Regressão Logística</w:t>
            </w:r>
          </w:p>
        </w:tc>
        <w:tc>
          <w:tcPr>
            <w:tcW w:w="2436" w:type="dxa"/>
          </w:tcPr>
          <w:p>
            <w:pPr>
              <w:jc w:val="both"/>
              <w:rPr>
                <w:rFonts w:ascii="Arial" w:cs="Arial" w:eastAsia="Arial" w:hAnsi="Arial"/>
                <w:sz w:val="22"/>
                <w:szCs w:val="22"/>
              </w:rPr>
            </w:pPr>
            <w:r>
              <w:rPr>
                <w:rFonts w:ascii="Arial" w:cs="Arial" w:eastAsia="Arial" w:hAnsi="Arial"/>
                <w:sz w:val="22"/>
                <w:szCs w:val="22"/>
                <w:rtl w:val="0"/>
              </w:rPr>
              <w:t xml:space="preserve">Padrão: regularização L2, C = 1,0, solver lbfgs.</w:t>
            </w:r>
          </w:p>
        </w:tc>
        <w:tc>
          <w:tcPr>
            <w:tcW w:w="2436" w:type="dxa"/>
          </w:tcPr>
          <w:p>
            <w:pPr>
              <w:jc w:val="both"/>
              <w:rPr>
                <w:rFonts w:ascii="Arial" w:cs="Arial" w:eastAsia="Arial" w:hAnsi="Arial"/>
                <w:sz w:val="22"/>
                <w:szCs w:val="22"/>
              </w:rPr>
            </w:pPr>
            <w:r>
              <w:rPr>
                <w:rFonts w:ascii="Arial" w:cs="Arial" w:eastAsia="Arial" w:hAnsi="Arial"/>
                <w:sz w:val="22"/>
                <w:szCs w:val="22"/>
                <w:rtl w:val="0"/>
              </w:rPr>
              <w:t xml:space="preserve">Visto em aula e por ser linear e probabilístico.</w:t>
            </w:r>
          </w:p>
        </w:tc>
        <w:tc>
          <w:tcPr>
            <w:tcW w:w="2436" w:type="dxa"/>
          </w:tcPr>
          <w:p>
            <w:pPr>
              <w:jc w:val="both"/>
              <w:rPr>
                <w:rFonts w:ascii="Arial" w:cs="Arial" w:eastAsia="Arial" w:hAnsi="Arial"/>
                <w:sz w:val="22"/>
                <w:szCs w:val="22"/>
              </w:rPr>
            </w:pPr>
            <w:r>
              <w:rPr>
                <w:rFonts w:ascii="Arial" w:cs="Arial" w:eastAsia="Arial" w:hAnsi="Arial"/>
                <w:sz w:val="22"/>
                <w:szCs w:val="22"/>
                <w:rtl w:val="0"/>
              </w:rPr>
              <w:t xml:space="preserve">Sensível à escala; coeficientes interpretáveis.</w:t>
            </w:r>
          </w:p>
        </w:tc>
      </w:tr>
      <w:tr>
        <w:trPr>
          <w:cantSplit w:val="0"/>
          <w:tblHeader w:val="0"/>
        </w:trPr>
        <w:tc>
          <w:tcPr>
            <w:tcW w:w="2436" w:type="dxa"/>
          </w:tcPr>
          <w:p>
            <w:pPr>
              <w:jc w:val="both"/>
              <w:rPr>
                <w:rFonts w:ascii="Arial" w:cs="Arial" w:eastAsia="Arial" w:hAnsi="Arial"/>
                <w:sz w:val="22"/>
                <w:szCs w:val="22"/>
              </w:rPr>
            </w:pPr>
            <w:r>
              <w:rPr>
                <w:rFonts w:ascii="Arial" w:cs="Arial" w:eastAsia="Arial" w:hAnsi="Arial"/>
                <w:sz w:val="22"/>
                <w:szCs w:val="22"/>
                <w:rtl w:val="0"/>
              </w:rPr>
              <w:t xml:space="preserve">Rede Neural (MLP)</w:t>
            </w:r>
          </w:p>
        </w:tc>
        <w:tc>
          <w:tcPr>
            <w:tcW w:w="2436" w:type="dxa"/>
          </w:tcPr>
          <w:p>
            <w:pPr>
              <w:jc w:val="both"/>
              <w:rPr>
                <w:rFonts w:ascii="Arial" w:cs="Arial" w:eastAsia="Arial" w:hAnsi="Arial"/>
                <w:sz w:val="22"/>
                <w:szCs w:val="22"/>
              </w:rPr>
            </w:pPr>
            <w:r>
              <w:rPr>
                <w:rFonts w:ascii="Arial" w:cs="Arial" w:eastAsia="Arial" w:hAnsi="Arial"/>
                <w:sz w:val="22"/>
                <w:szCs w:val="22"/>
                <w:rtl w:val="0"/>
              </w:rPr>
              <w:t xml:space="preserve">Padrão (1 camada oculta de 100 neurônios, ReLU, Adam), exceto max_iter = 1000; random_state = 42.</w:t>
            </w:r>
          </w:p>
        </w:tc>
        <w:tc>
          <w:tcPr>
            <w:tcW w:w="2436" w:type="dxa"/>
          </w:tcPr>
          <w:p>
            <w:pPr>
              <w:jc w:val="both"/>
              <w:rPr>
                <w:rFonts w:ascii="Arial" w:cs="Arial" w:eastAsia="Arial" w:hAnsi="Arial"/>
                <w:sz w:val="22"/>
                <w:szCs w:val="22"/>
              </w:rPr>
            </w:pPr>
            <w:r>
              <w:rPr>
                <w:rFonts w:ascii="Arial" w:cs="Arial" w:eastAsia="Arial" w:hAnsi="Arial"/>
                <w:sz w:val="22"/>
                <w:szCs w:val="22"/>
                <w:rtl w:val="0"/>
              </w:rPr>
              <w:t xml:space="preserve">Visto em aula e por ser não linear e possuir aprendizado por gradiente.</w:t>
            </w:r>
          </w:p>
        </w:tc>
        <w:tc>
          <w:tcPr>
            <w:tcW w:w="2436" w:type="dxa"/>
          </w:tcPr>
          <w:p>
            <w:pPr>
              <w:jc w:val="both"/>
              <w:rPr>
                <w:rFonts w:ascii="Arial" w:cs="Arial" w:eastAsia="Arial" w:hAnsi="Arial"/>
                <w:sz w:val="22"/>
                <w:szCs w:val="22"/>
              </w:rPr>
            </w:pPr>
            <w:r>
              <w:rPr>
                <w:rFonts w:ascii="Arial" w:cs="Arial" w:eastAsia="Arial" w:hAnsi="Arial"/>
                <w:sz w:val="22"/>
                <w:szCs w:val="22"/>
                <w:rtl w:val="0"/>
              </w:rPr>
              <w:t xml:space="preserve">max_iter elevado (padrão: 200) para garantir a convergência.</w:t>
            </w:r>
          </w:p>
        </w:tc>
      </w:tr>
      <w:tr>
        <w:trPr>
          <w:cantSplit w:val="0"/>
          <w:tblHeader w:val="0"/>
        </w:trPr>
        <w:tc>
          <w:tcPr>
            <w:tcW w:w="2436" w:type="dxa"/>
          </w:tcPr>
          <w:p>
            <w:pPr>
              <w:jc w:val="both"/>
              <w:rPr>
                <w:rFonts w:ascii="Arial" w:cs="Arial" w:eastAsia="Arial" w:hAnsi="Arial"/>
                <w:sz w:val="22"/>
                <w:szCs w:val="22"/>
              </w:rPr>
            </w:pPr>
            <w:r>
              <w:rPr>
                <w:rFonts w:ascii="Arial" w:cs="Arial" w:eastAsia="Arial" w:hAnsi="Arial"/>
                <w:sz w:val="22"/>
                <w:szCs w:val="22"/>
                <w:rtl w:val="0"/>
              </w:rPr>
              <w:t xml:space="preserve">Random Forest</w:t>
            </w:r>
          </w:p>
        </w:tc>
        <w:tc>
          <w:tcPr>
            <w:tcW w:w="2436" w:type="dxa"/>
          </w:tcPr>
          <w:p>
            <w:pPr>
              <w:jc w:val="both"/>
              <w:rPr>
                <w:rFonts w:ascii="Arial" w:cs="Arial" w:eastAsia="Arial" w:hAnsi="Arial"/>
                <w:sz w:val="22"/>
                <w:szCs w:val="22"/>
              </w:rPr>
            </w:pPr>
            <w:r>
              <w:rPr>
                <w:rFonts w:ascii="Arial" w:cs="Arial" w:eastAsia="Arial" w:hAnsi="Arial"/>
                <w:sz w:val="22"/>
                <w:szCs w:val="22"/>
                <w:rtl w:val="0"/>
              </w:rPr>
              <w:t xml:space="preserve">Padrão: 100 árvores, max_features = "sqrt", random_state = 42.</w:t>
            </w:r>
          </w:p>
        </w:tc>
        <w:tc>
          <w:tcPr>
            <w:tcW w:w="2436" w:type="dxa"/>
          </w:tcPr>
          <w:p>
            <w:pPr>
              <w:jc w:val="both"/>
              <w:rPr>
                <w:rFonts w:ascii="Arial" w:cs="Arial" w:eastAsia="Arial" w:hAnsi="Arial"/>
                <w:sz w:val="22"/>
                <w:szCs w:val="22"/>
              </w:rPr>
            </w:pPr>
            <w:r>
              <w:rPr>
                <w:rFonts w:ascii="Arial" w:cs="Arial" w:eastAsia="Arial" w:hAnsi="Arial"/>
                <w:sz w:val="22"/>
                <w:szCs w:val="22"/>
                <w:rtl w:val="0"/>
              </w:rPr>
              <w:t xml:space="preserve">Visto em aula e por possuir ensemble por bagging (combina árvores treinadas em amostras diferentes).</w:t>
            </w:r>
          </w:p>
        </w:tc>
        <w:tc>
          <w:tcPr>
            <w:tcW w:w="2436" w:type="dxa"/>
          </w:tcPr>
          <w:p>
            <w:pPr>
              <w:jc w:val="both"/>
              <w:rPr>
                <w:rFonts w:ascii="Arial" w:cs="Arial" w:eastAsia="Arial" w:hAnsi="Arial"/>
                <w:sz w:val="22"/>
                <w:szCs w:val="22"/>
              </w:rPr>
            </w:pPr>
            <w:r>
              <w:rPr>
                <w:rFonts w:ascii="Arial" w:cs="Arial" w:eastAsia="Arial" w:hAnsi="Arial"/>
                <w:sz w:val="22"/>
                <w:szCs w:val="22"/>
                <w:rtl w:val="0"/>
              </w:rPr>
              <w:t xml:space="preserve">Insensível à escala dos atributos.</w:t>
            </w:r>
          </w:p>
        </w:tc>
      </w:tr>
      <w:tr>
        <w:trPr>
          <w:cantSplit w:val="0"/>
          <w:tblHeader w:val="0"/>
        </w:trPr>
        <w:tc>
          <w:tcPr>
            <w:tcW w:w="2436" w:type="dxa"/>
          </w:tcPr>
          <w:p>
            <w:pPr>
              <w:jc w:val="both"/>
              <w:rPr>
                <w:rFonts w:ascii="Arial" w:cs="Arial" w:eastAsia="Arial" w:hAnsi="Arial"/>
                <w:sz w:val="22"/>
                <w:szCs w:val="22"/>
              </w:rPr>
            </w:pPr>
            <w:r>
              <w:rPr>
                <w:rFonts w:ascii="Arial" w:cs="Arial" w:eastAsia="Arial" w:hAnsi="Arial"/>
                <w:sz w:val="22"/>
                <w:szCs w:val="22"/>
                <w:rtl w:val="0"/>
              </w:rPr>
              <w:t xml:space="preserve">Gradient Boosting</w:t>
            </w:r>
          </w:p>
        </w:tc>
        <w:tc>
          <w:tcPr>
            <w:tcW w:w="2436" w:type="dxa"/>
          </w:tcPr>
          <w:p>
            <w:pPr>
              <w:jc w:val="both"/>
              <w:rPr>
                <w:rFonts w:ascii="Arial" w:cs="Arial" w:eastAsia="Arial" w:hAnsi="Arial"/>
                <w:sz w:val="22"/>
                <w:szCs w:val="22"/>
              </w:rPr>
            </w:pPr>
            <w:r>
              <w:rPr>
                <w:rFonts w:ascii="Arial" w:cs="Arial" w:eastAsia="Arial" w:hAnsi="Arial"/>
                <w:sz w:val="22"/>
                <w:szCs w:val="22"/>
                <w:rtl w:val="0"/>
              </w:rPr>
              <w:t xml:space="preserve">Padrão: 100 estimadores, learning_rate = 0,1, max_depth = 3, random_state = 42.</w:t>
            </w:r>
          </w:p>
        </w:tc>
        <w:tc>
          <w:tcPr>
            <w:tcW w:w="2436" w:type="dxa"/>
          </w:tcPr>
          <w:p>
            <w:pPr>
              <w:jc w:val="both"/>
              <w:rPr>
                <w:rFonts w:ascii="Arial" w:cs="Arial" w:eastAsia="Arial" w:hAnsi="Arial"/>
                <w:sz w:val="22"/>
                <w:szCs w:val="22"/>
              </w:rPr>
            </w:pPr>
            <w:r>
              <w:rPr>
                <w:rFonts w:ascii="Arial" w:cs="Arial" w:eastAsia="Arial" w:hAnsi="Arial"/>
                <w:sz w:val="22"/>
                <w:szCs w:val="22"/>
                <w:rtl w:val="0"/>
              </w:rPr>
              <w:t xml:space="preserve">Visto em aula e na aula de Ciência de Dados, e por possuir ensemble por boosting (sequencial).</w:t>
            </w:r>
          </w:p>
        </w:tc>
        <w:tc>
          <w:tcPr>
            <w:tcW w:w="2436" w:type="dxa"/>
          </w:tcPr>
          <w:p>
            <w:pPr>
              <w:jc w:val="both"/>
              <w:rPr>
                <w:rFonts w:ascii="Arial" w:cs="Arial" w:eastAsia="Arial" w:hAnsi="Arial"/>
                <w:sz w:val="22"/>
                <w:szCs w:val="22"/>
              </w:rPr>
            </w:pPr>
            <w:r>
              <w:rPr>
                <w:rFonts w:ascii="Arial" w:cs="Arial" w:eastAsia="Arial" w:hAnsi="Arial"/>
                <w:sz w:val="22"/>
                <w:szCs w:val="22"/>
                <w:rtl w:val="0"/>
              </w:rPr>
              <w:t xml:space="preserve">Insensível à escala dos atributos.</w:t>
            </w:r>
          </w:p>
        </w:tc>
      </w:tr>
    </w:tbl>
    <w:p w:rsidR="00000000" w:rsidDel="00000000" w:rsidP="00000000" w:rsidRDefault="00000000" w:rsidRPr="00000000" w14:paraId="0000005D">
      <w:pPr>
        <w:jc w:val="both"/>
        <w:rPr>
          <w:rFonts w:ascii="Arial" w:cs="Arial" w:eastAsia="Arial" w:hAnsi="Arial"/>
          <w:sz w:val="22"/>
          <w:szCs w:val="22"/>
        </w:rPr>
      </w:pPr>
      <w:r>
        <w:rPr>
          <w:rtl w:val="0"/>
        </w:rPr>
      </w:r>
    </w:p>
    <w:p w:rsidR="00000000" w:rsidDel="00000000" w:rsidP="00000000" w:rsidRDefault="00000000" w:rsidRPr="00000000" w14:paraId="0000005E">
      <w:pPr>
        <w:jc w:val="both"/>
        <w:rPr>
          <w:rFonts w:ascii="Arial" w:cs="Arial" w:eastAsia="Arial" w:hAnsi="Arial"/>
          <w:sz w:val="22"/>
          <w:szCs w:val="22"/>
        </w:rPr>
      </w:pPr>
      <w:r>
        <w:rPr>
          <w:rFonts w:ascii="Arial" w:cs="Arial" w:eastAsia="Arial" w:hAnsi="Arial"/>
          <w:sz w:val="22"/>
          <w:szCs w:val="22"/>
          <w:rtl w:val="0"/>
        </w:rPr>
        <w:t xml:space="preserve">Adicione linhas conforme necessário. Não é necessário apresentar aqui todo o código de execução; ele deve estar disponível no notebook.</w:t>
      </w:r>
    </w:p>
    <w:p w:rsidR="00000000" w:rsidDel="00000000" w:rsidP="00000000" w:rsidRDefault="00000000" w:rsidRPr="00000000" w14:paraId="0000005F">
      <w:pPr>
        <w:pStyle w:val="Heading1"/>
        <w:jc w:val="both"/>
        <w:rPr>
          <w:rFonts w:ascii="Arial" w:cs="Arial" w:eastAsia="Arial" w:hAnsi="Arial"/>
          <w:sz w:val="22"/>
          <w:szCs w:val="22"/>
        </w:rPr>
      </w:pPr>
      <w:r>
        <w:rPr>
          <w:rFonts w:ascii="Arial" w:cs="Arial" w:eastAsia="Arial" w:hAnsi="Arial"/>
          <w:sz w:val="22"/>
          <w:szCs w:val="22"/>
          <w:rtl w:val="0"/>
        </w:rPr>
        <w:t xml:space="preserve">5. Resultados</w:t>
      </w:r>
    </w:p>
    <w:p w:rsidR="00000000" w:rsidDel="00000000" w:rsidP="00000000" w:rsidRDefault="00000000" w:rsidRPr="00000000" w14:paraId="00000060">
      <w:pPr>
        <w:pStyle w:val="Heading2"/>
        <w:jc w:val="both"/>
        <w:rPr>
          <w:rFonts w:ascii="Arial" w:cs="Arial" w:eastAsia="Arial" w:hAnsi="Arial"/>
          <w:sz w:val="22"/>
          <w:szCs w:val="22"/>
        </w:rPr>
      </w:pPr>
      <w:r>
        <w:rPr>
          <w:rFonts w:ascii="Arial" w:cs="Arial" w:eastAsia="Arial" w:hAnsi="Arial"/>
          <w:sz w:val="22"/>
          <w:szCs w:val="22"/>
          <w:rtl w:val="0"/>
        </w:rPr>
        <w:t xml:space="preserve">5.1 Tabela comparativa</w:t>
      </w:r>
    </w:p>
    <w:p w:rsidR="00000000" w:rsidDel="00000000" w:rsidP="00000000" w:rsidRDefault="00000000" w:rsidRPr="00000000" w14:paraId="00000061">
      <w:pPr>
        <w:jc w:val="both"/>
        <w:rPr>
          <w:rFonts w:ascii="Arial" w:cs="Arial" w:eastAsia="Arial" w:hAnsi="Arial"/>
          <w:sz w:val="22"/>
          <w:szCs w:val="22"/>
        </w:rPr>
      </w:pPr>
      <w:r>
        <w:rPr>
          <w:rFonts w:ascii="Arial" w:cs="Arial" w:eastAsia="Arial" w:hAnsi="Arial"/>
          <w:sz w:val="22"/>
          <w:szCs w:val="22"/>
          <w:rtl w:val="0"/>
        </w:rPr>
        <w:t xml:space="preserve">Apresente os resultados obtidos para os modelos analisados em tabela, com a média e o desvio padrão das métricas analisadas.</w:t>
      </w:r>
    </w:p>
    <w:tbl>
      <w:tblPr>
        <w:tblW w:w="974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4"/>
        <w:gridCol w:w="1500"/>
        <w:gridCol w:w="1500"/>
        <w:gridCol w:w="1500"/>
        <w:gridCol w:w="1500"/>
        <w:gridCol w:w="1500"/>
      </w:tblGrid>
      <w:tr>
        <w:trPr>
          <w:cantSplit w:val="0"/>
          <w:tblHeader w:val="0"/>
        </w:trPr>
        <w:tc>
          <w:tcPr>
            <w:tcW w:w="2244" w:type="dxa"/>
          </w:tcPr>
          <w:p>
            <w:pPr>
              <w:jc w:val="left"/>
              <w:rPr>
                <w:rFonts w:ascii="Arial" w:cs="Arial" w:eastAsia="Arial" w:hAnsi="Arial"/>
                <w:sz w:val="18"/>
                <w:szCs w:val="18"/>
              </w:rPr>
            </w:pPr>
            <w:r>
              <w:rPr>
                <w:rFonts w:ascii="Arial" w:cs="Arial" w:eastAsia="Arial" w:hAnsi="Arial"/>
                <w:b w:val="1"/>
                <w:bCs w:val="1"/>
                <w:sz w:val="18"/>
                <w:szCs w:val="18"/>
                <w:rtl w:val="0"/>
              </w:rPr>
              <w:t xml:space="preserve">Modelo</w:t>
            </w:r>
          </w:p>
        </w:tc>
        <w:tc>
          <w:tcPr>
            <w:tcW w:w="1500" w:type="dxa"/>
          </w:tcPr>
          <w:p>
            <w:pPr>
              <w:jc w:val="center"/>
              <w:rPr>
                <w:rFonts w:ascii="Arial" w:cs="Arial" w:eastAsia="Arial" w:hAnsi="Arial"/>
                <w:sz w:val="18"/>
                <w:szCs w:val="18"/>
              </w:rPr>
            </w:pPr>
            <w:r>
              <w:rPr>
                <w:rFonts w:ascii="Arial" w:cs="Arial" w:eastAsia="Arial" w:hAnsi="Arial"/>
                <w:b w:val="1"/>
                <w:bCs w:val="1"/>
                <w:sz w:val="18"/>
                <w:szCs w:val="18"/>
                <w:rtl w:val="0"/>
              </w:rPr>
              <w:t xml:space="preserve">F1</w:t>
            </w:r>
          </w:p>
        </w:tc>
        <w:tc>
          <w:tcPr>
            <w:tcW w:w="1500" w:type="dxa"/>
          </w:tcPr>
          <w:p>
            <w:pPr>
              <w:jc w:val="center"/>
              <w:rPr>
                <w:rFonts w:ascii="Arial" w:cs="Arial" w:eastAsia="Arial" w:hAnsi="Arial"/>
                <w:sz w:val="18"/>
                <w:szCs w:val="18"/>
              </w:rPr>
            </w:pPr>
            <w:r>
              <w:rPr>
                <w:rFonts w:ascii="Arial" w:cs="Arial" w:eastAsia="Arial" w:hAnsi="Arial"/>
                <w:b w:val="1"/>
                <w:bCs w:val="1"/>
                <w:sz w:val="18"/>
                <w:szCs w:val="18"/>
                <w:rtl w:val="0"/>
              </w:rPr>
              <w:t xml:space="preserve">Acurácia</w:t>
            </w:r>
          </w:p>
        </w:tc>
        <w:tc>
          <w:tcPr>
            <w:tcW w:w="1500" w:type="dxa"/>
          </w:tcPr>
          <w:p>
            <w:pPr>
              <w:jc w:val="center"/>
              <w:rPr>
                <w:rFonts w:ascii="Arial" w:cs="Arial" w:eastAsia="Arial" w:hAnsi="Arial"/>
                <w:sz w:val="18"/>
                <w:szCs w:val="18"/>
              </w:rPr>
            </w:pPr>
            <w:r>
              <w:rPr>
                <w:rFonts w:ascii="Arial" w:cs="Arial" w:eastAsia="Arial" w:hAnsi="Arial"/>
                <w:b w:val="1"/>
                <w:bCs w:val="1"/>
                <w:sz w:val="18"/>
                <w:szCs w:val="18"/>
                <w:rtl w:val="0"/>
              </w:rPr>
              <w:t xml:space="preserve">Precisão</w:t>
            </w:r>
          </w:p>
        </w:tc>
        <w:tc>
          <w:tcPr>
            <w:tcW w:w="1500" w:type="dxa"/>
          </w:tcPr>
          <w:p>
            <w:pPr>
              <w:jc w:val="center"/>
              <w:rPr>
                <w:rFonts w:ascii="Arial" w:cs="Arial" w:eastAsia="Arial" w:hAnsi="Arial"/>
                <w:sz w:val="18"/>
                <w:szCs w:val="18"/>
              </w:rPr>
            </w:pPr>
            <w:r>
              <w:rPr>
                <w:rFonts w:ascii="Arial" w:cs="Arial" w:eastAsia="Arial" w:hAnsi="Arial"/>
                <w:b w:val="1"/>
                <w:bCs w:val="1"/>
                <w:sz w:val="18"/>
                <w:szCs w:val="18"/>
                <w:rtl w:val="0"/>
              </w:rPr>
              <w:t xml:space="preserve">Recall</w:t>
            </w:r>
          </w:p>
        </w:tc>
        <w:tc>
          <w:tcPr>
            <w:tcW w:w="1500" w:type="dxa"/>
          </w:tcPr>
          <w:p>
            <w:pPr>
              <w:jc w:val="center"/>
              <w:rPr>
                <w:rFonts w:ascii="Arial" w:cs="Arial" w:eastAsia="Arial" w:hAnsi="Arial"/>
                <w:sz w:val="18"/>
                <w:szCs w:val="18"/>
              </w:rPr>
            </w:pPr>
            <w:r>
              <w:rPr>
                <w:rFonts w:ascii="Arial" w:cs="Arial" w:eastAsia="Arial" w:hAnsi="Arial"/>
                <w:b w:val="1"/>
                <w:bCs w:val="1"/>
                <w:sz w:val="18"/>
                <w:szCs w:val="18"/>
                <w:rtl w:val="0"/>
              </w:rPr>
              <w:t xml:space="preserve">ROC-AUC</w:t>
            </w:r>
          </w:p>
        </w:tc>
      </w:tr>
      <w:tr>
        <w:trPr>
          <w:cantSplit w:val="0"/>
          <w:tblHeader w:val="0"/>
        </w:trPr>
        <w:tc>
          <w:tcPr>
            <w:tcW w:w="2244" w:type="dxa"/>
          </w:tcPr>
          <w:p>
            <w:pPr>
              <w:jc w:val="left"/>
              <w:rPr>
                <w:rFonts w:ascii="Arial" w:cs="Arial" w:eastAsia="Arial" w:hAnsi="Arial"/>
                <w:sz w:val="18"/>
                <w:szCs w:val="18"/>
              </w:rPr>
            </w:pPr>
            <w:r>
              <w:rPr>
                <w:rFonts w:ascii="Arial" w:cs="Arial" w:eastAsia="Arial" w:hAnsi="Arial"/>
                <w:sz w:val="18"/>
                <w:szCs w:val="18"/>
                <w:rtl w:val="0"/>
              </w:rPr>
              <w:t xml:space="preserve">Regressão Logística</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0,826 ± 0,059</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0,848 ± 0,048</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0,864 ± 0,068</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0,798 ± 0,090</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0,909 ± 0,042</w:t>
            </w:r>
          </w:p>
        </w:tc>
      </w:tr>
      <w:tr>
        <w:trPr>
          <w:cantSplit w:val="0"/>
          <w:tblHeader w:val="0"/>
        </w:trPr>
        <w:tc>
          <w:tcPr>
            <w:tcW w:w="2244" w:type="dxa"/>
          </w:tcPr>
          <w:p>
            <w:pPr>
              <w:jc w:val="left"/>
              <w:rPr>
                <w:rFonts w:ascii="Arial" w:cs="Arial" w:eastAsia="Arial" w:hAnsi="Arial"/>
                <w:sz w:val="18"/>
                <w:szCs w:val="18"/>
              </w:rPr>
            </w:pPr>
            <w:r>
              <w:rPr>
                <w:rFonts w:ascii="Arial" w:cs="Arial" w:eastAsia="Arial" w:hAnsi="Arial"/>
                <w:sz w:val="18"/>
                <w:szCs w:val="18"/>
                <w:rtl w:val="0"/>
              </w:rPr>
              <w:t xml:space="preserve">KNN</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0,818 ± 0,055</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0,837 ± 0,046</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0,833 ± 0,061</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0,808 ± 0,076</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0,872 ± 0,051</w:t>
            </w:r>
          </w:p>
        </w:tc>
      </w:tr>
      <w:tr>
        <w:trPr>
          <w:cantSplit w:val="0"/>
          <w:tblHeader w:val="0"/>
        </w:trPr>
        <w:tc>
          <w:tcPr>
            <w:tcW w:w="2244" w:type="dxa"/>
          </w:tcPr>
          <w:p>
            <w:pPr>
              <w:jc w:val="left"/>
              <w:rPr>
                <w:rFonts w:ascii="Arial" w:cs="Arial" w:eastAsia="Arial" w:hAnsi="Arial"/>
                <w:sz w:val="18"/>
                <w:szCs w:val="18"/>
              </w:rPr>
            </w:pPr>
            <w:r>
              <w:rPr>
                <w:rFonts w:ascii="Arial" w:cs="Arial" w:eastAsia="Arial" w:hAnsi="Arial"/>
                <w:sz w:val="18"/>
                <w:szCs w:val="18"/>
                <w:rtl w:val="0"/>
              </w:rPr>
              <w:t xml:space="preserve">Random Forest</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0,809 ± 0,053</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0,829 ± 0,047</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0,830 ± 0,074</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0,796 ± 0,079</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0,904 ± 0,040</w:t>
            </w:r>
          </w:p>
        </w:tc>
      </w:tr>
      <w:tr>
        <w:trPr>
          <w:cantSplit w:val="0"/>
          <w:tblHeader w:val="0"/>
        </w:trPr>
        <w:tc>
          <w:tcPr>
            <w:tcW w:w="2244" w:type="dxa"/>
          </w:tcPr>
          <w:p>
            <w:pPr>
              <w:jc w:val="left"/>
              <w:rPr>
                <w:rFonts w:ascii="Arial" w:cs="Arial" w:eastAsia="Arial" w:hAnsi="Arial"/>
                <w:sz w:val="18"/>
                <w:szCs w:val="18"/>
              </w:rPr>
            </w:pPr>
            <w:r>
              <w:rPr>
                <w:rFonts w:ascii="Arial" w:cs="Arial" w:eastAsia="Arial" w:hAnsi="Arial"/>
                <w:sz w:val="18"/>
                <w:szCs w:val="18"/>
                <w:rtl w:val="0"/>
              </w:rPr>
              <w:t xml:space="preserve">Gradient Boosting</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0,781 ± 0,053</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0,800 ± 0,047</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0,786 ± 0,062</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0,782 ± 0,082</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0,878 ± 0,045</w:t>
            </w:r>
          </w:p>
        </w:tc>
      </w:tr>
      <w:tr>
        <w:trPr>
          <w:cantSplit w:val="0"/>
          <w:tblHeader w:val="0"/>
        </w:trPr>
        <w:tc>
          <w:tcPr>
            <w:tcW w:w="2244" w:type="dxa"/>
          </w:tcPr>
          <w:p>
            <w:pPr>
              <w:jc w:val="left"/>
              <w:rPr>
                <w:rFonts w:ascii="Arial" w:cs="Arial" w:eastAsia="Arial" w:hAnsi="Arial"/>
                <w:sz w:val="18"/>
                <w:szCs w:val="18"/>
              </w:rPr>
            </w:pPr>
            <w:r>
              <w:rPr>
                <w:rFonts w:ascii="Arial" w:cs="Arial" w:eastAsia="Arial" w:hAnsi="Arial"/>
                <w:sz w:val="18"/>
                <w:szCs w:val="18"/>
                <w:rtl w:val="0"/>
              </w:rPr>
              <w:t xml:space="preserve">Rede Neural (MLP)</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0,773 ± 0,062</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0,797 ± 0,057</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0,801 ± 0,092</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0,756 ± 0,085</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0,867 ± 0,053</w:t>
            </w:r>
          </w:p>
        </w:tc>
      </w:tr>
      <w:tr>
        <w:trPr>
          <w:cantSplit w:val="0"/>
          <w:tblHeader w:val="0"/>
        </w:trPr>
        <w:tc>
          <w:tcPr>
            <w:tcW w:w="2244" w:type="dxa"/>
          </w:tcPr>
          <w:p>
            <w:pPr>
              <w:jc w:val="left"/>
              <w:rPr>
                <w:rFonts w:ascii="Arial" w:cs="Arial" w:eastAsia="Arial" w:hAnsi="Arial"/>
                <w:sz w:val="18"/>
                <w:szCs w:val="18"/>
              </w:rPr>
            </w:pPr>
            <w:r>
              <w:rPr>
                <w:rFonts w:ascii="Arial" w:cs="Arial" w:eastAsia="Arial" w:hAnsi="Arial"/>
                <w:sz w:val="18"/>
                <w:szCs w:val="18"/>
                <w:rtl w:val="0"/>
              </w:rPr>
              <w:t xml:space="preserve">Árvore de Decisão</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0,729 ± 0,056</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0,749 ± 0,053</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0,725 ± 0,068</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0,740 ± 0,082</w:t>
            </w:r>
          </w:p>
        </w:tc>
        <w:tc>
          <w:tcPr>
            <w:tcW w:w="1500" w:type="dxa"/>
          </w:tcPr>
          <w:p>
            <w:pPr>
              <w:jc w:val="center"/>
              <w:rPr>
                <w:rFonts w:ascii="Arial" w:cs="Arial" w:eastAsia="Arial" w:hAnsi="Arial"/>
                <w:sz w:val="18"/>
                <w:szCs w:val="18"/>
              </w:rPr>
            </w:pPr>
            <w:r>
              <w:rPr>
                <w:rFonts w:ascii="Arial" w:cs="Arial" w:eastAsia="Arial" w:hAnsi="Arial"/>
                <w:sz w:val="18"/>
                <w:szCs w:val="18"/>
                <w:rtl w:val="0"/>
              </w:rPr>
              <w:t xml:space="preserve">0,749 ± 0,053</w:t>
            </w:r>
          </w:p>
        </w:tc>
      </w:tr>
    </w:tbl>
    <w:p>
      <w:pPr>
        <w:jc w:val="both"/>
        <w:rPr>
          <w:rFonts w:ascii="Arial" w:cs="Arial" w:eastAsia="Arial" w:hAnsi="Arial"/>
          <w:sz w:val="18"/>
          <w:szCs w:val="18"/>
        </w:rPr>
      </w:pPr>
      <w:r>
        <w:rPr>
          <w:rFonts w:ascii="Arial" w:cs="Arial" w:eastAsia="Arial" w:hAnsi="Arial"/>
          <w:sz w:val="18"/>
          <w:szCs w:val="18"/>
          <w:rtl w:val="0"/>
        </w:rPr>
        <w:t xml:space="preserve">Média ± desvio padrão nas 50 avaliações (5 folds × 10 repetições), ordenado pelo F1. Classe positiva: com doença.</w:t>
      </w:r>
    </w:p>
    <w:p w:rsidR="00000000" w:rsidDel="00000000" w:rsidP="00000000" w:rsidRDefault="00000000" w:rsidRPr="00000000" w14:paraId="00000063">
      <w:pPr>
        <w:jc w:val="both"/>
        <w:rPr>
          <w:rFonts w:ascii="Arial" w:cs="Arial" w:eastAsia="Arial" w:hAnsi="Arial"/>
          <w:i w:val="1"/>
          <w:iCs w:val="1"/>
          <w:sz w:val="22"/>
          <w:szCs w:val="22"/>
        </w:rPr>
      </w:pPr>
      <w:r>
        <w:rPr>
          <w:rtl w:val="0"/>
        </w:rPr>
      </w:r>
    </w:p>
    <w:p w:rsidR="00000000" w:rsidDel="00000000" w:rsidP="00000000" w:rsidRDefault="00000000" w:rsidRPr="00000000" w14:paraId="00000064">
      <w:pPr>
        <w:pStyle w:val="Heading2"/>
        <w:jc w:val="both"/>
        <w:rPr>
          <w:rFonts w:ascii="Arial" w:cs="Arial" w:eastAsia="Arial" w:hAnsi="Arial"/>
          <w:sz w:val="22"/>
          <w:szCs w:val="22"/>
        </w:rPr>
      </w:pPr>
      <w:r>
        <w:rPr>
          <w:rFonts w:ascii="Arial" w:cs="Arial" w:eastAsia="Arial" w:hAnsi="Arial"/>
          <w:sz w:val="22"/>
          <w:szCs w:val="22"/>
          <w:rtl w:val="0"/>
        </w:rPr>
        <w:t xml:space="preserve">5.2 Gráfico comparativo</w:t>
      </w:r>
    </w:p>
    <w:p w:rsidR="00000000" w:rsidDel="00000000" w:rsidP="00000000" w:rsidRDefault="00000000" w:rsidRPr="00000000" w14:paraId="00000065">
      <w:pPr>
        <w:jc w:val="both"/>
        <w:rPr>
          <w:rFonts w:ascii="Arial" w:cs="Arial" w:eastAsia="Arial" w:hAnsi="Arial"/>
          <w:sz w:val="22"/>
          <w:szCs w:val="22"/>
        </w:rPr>
      </w:pPr>
      <w:r>
        <w:rPr>
          <w:rFonts w:ascii="Arial" w:cs="Arial" w:eastAsia="Arial" w:hAnsi="Arial"/>
          <w:sz w:val="22"/>
          <w:szCs w:val="22"/>
          <w:rtl w:val="0"/>
        </w:rPr>
        <w:t xml:space="preserve">Insira um gráfico que permita comparar visualmente o desempenho dos modelos segundo a(s) métrica(s) definida(s) no protocolo.</w:t>
      </w:r>
    </w:p>
    <w:p>
      <w:pPr>
        <w:jc w:val="center"/>
      </w:pPr>
      <w:r>
        <w:drawing>
          <wp:inline distT="0" distB="0" distL="0" distR="0">
            <wp:extent cx="5486400" cy="2698595"/>
            <wp:docPr id="901" name="grafico_comparativo_f1.png"/>
            <wp:cNvGraphicFramePr>
              <a:graphicFrameLocks noChangeAspect="1"/>
            </wp:cNvGraphicFramePr>
            <a:graphic>
              <a:graphicData uri="http://schemas.openxmlformats.org/drawingml/2006/picture">
                <pic:pic>
                  <pic:nvPicPr>
                    <pic:cNvPr id="901" name="grafico_comparativo_f1.png"/>
                    <pic:cNvPicPr/>
                  </pic:nvPicPr>
                  <pic:blipFill>
                    <a:blip r:embed="rIdGraficoF1"/>
                    <a:stretch>
                      <a:fillRect/>
                    </a:stretch>
                  </pic:blipFill>
                  <pic:spPr>
                    <a:xfrm>
                      <a:off x="0" y="0"/>
                      <a:ext cx="5486400" cy="2698595"/>
                    </a:xfrm>
                    <a:prstGeom prst="rect">
                      <a:avLst/>
                    </a:prstGeom>
                  </pic:spPr>
                </pic:pic>
              </a:graphicData>
            </a:graphic>
          </wp:inline>
        </w:drawing>
      </w:r>
    </w:p>
    <w:p>
      <w:pPr>
        <w:jc w:val="center"/>
        <w:rPr>
          <w:rFonts w:ascii="Arial" w:cs="Arial" w:eastAsia="Arial" w:hAnsi="Arial"/>
          <w:sz w:val="18"/>
          <w:szCs w:val="18"/>
        </w:rPr>
      </w:pPr>
      <w:r>
        <w:rPr>
          <w:rFonts w:ascii="Arial" w:cs="Arial" w:eastAsia="Arial" w:hAnsi="Arial"/>
          <w:sz w:val="18"/>
          <w:szCs w:val="18"/>
          <w:rtl w:val="0"/>
        </w:rPr>
        <w:t xml:space="preserve">Distribuição do F1 (classe positiva = com doença) nas 50 avaliações de cada algoritmo; o losango indica a média.</w:t>
      </w:r>
    </w:p>
    <w:p w:rsidR="00000000" w:rsidDel="00000000" w:rsidP="00000000" w:rsidRDefault="00000000" w:rsidRPr="00000000" w14:paraId="00000067">
      <w:pPr>
        <w:pStyle w:val="Heading1"/>
        <w:jc w:val="both"/>
        <w:rPr>
          <w:rFonts w:ascii="Arial" w:cs="Arial" w:eastAsia="Arial" w:hAnsi="Arial"/>
          <w:sz w:val="22"/>
          <w:szCs w:val="22"/>
        </w:rPr>
      </w:pPr>
      <w:r>
        <w:rPr>
          <w:rFonts w:ascii="Arial" w:cs="Arial" w:eastAsia="Arial" w:hAnsi="Arial"/>
          <w:sz w:val="22"/>
          <w:szCs w:val="22"/>
          <w:rtl w:val="0"/>
        </w:rPr>
        <w:t xml:space="preserve">6. Interpretação dos resultados</w:t>
      </w:r>
    </w:p>
    <w:p w:rsidR="00000000" w:rsidDel="00000000" w:rsidP="00000000" w:rsidRDefault="00000000" w:rsidRPr="00000000" w14:paraId="00000068">
      <w:pPr>
        <w:jc w:val="both"/>
        <w:rPr>
          <w:rFonts w:ascii="Arial" w:cs="Arial" w:eastAsia="Arial" w:hAnsi="Arial"/>
          <w:sz w:val="22"/>
          <w:szCs w:val="22"/>
        </w:rPr>
      </w:pPr>
      <w:r>
        <w:rPr>
          <w:rtl w:val="0"/>
        </w:rPr>
      </w:r>
    </w:p>
    <w:p w:rsidR="00000000" w:rsidDel="00000000" w:rsidP="00000000" w:rsidRDefault="00000000" w:rsidRPr="00000000" w14:paraId="00000069">
      <w:pPr>
        <w:jc w:val="both"/>
        <w:rPr>
          <w:rFonts w:ascii="Arial" w:cs="Arial" w:eastAsia="Arial" w:hAnsi="Arial"/>
          <w:sz w:val="22"/>
          <w:szCs w:val="22"/>
        </w:rPr>
      </w:pPr>
      <w:r>
        <w:rPr>
          <w:rFonts w:ascii="Arial" w:cs="Arial" w:eastAsia="Arial" w:hAnsi="Arial"/>
          <w:sz w:val="22"/>
          <w:szCs w:val="22"/>
          <w:rtl w:val="0"/>
        </w:rPr>
        <w:t xml:space="preserve">Interprete os resultados com foco na comparação entre os modelos e nas evidências que justificam as decisões para o T2. Evite apenas repetir os valores apresentados na tabela.</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sz w:val="22"/>
          <w:szCs w:val="22"/>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Quais modelos apresentaram resultados mais promissores segundo o protocolo definido?</w:t>
      </w:r>
      <w:r>
        <w:rPr>
          <w:rtl w:val="0"/>
        </w:rPr>
      </w:r>
    </w:p>
    <w:p>
      <w:pPr>
        <w:jc w:val="both"/>
        <w:rPr>
          <w:rFonts w:ascii="Arial" w:cs="Arial" w:eastAsia="Arial" w:hAnsi="Arial"/>
          <w:sz w:val="22"/>
          <w:szCs w:val="22"/>
        </w:rPr>
      </w:pPr>
      <w:r>
        <w:rPr>
          <w:rFonts w:ascii="Arial" w:cs="Arial" w:eastAsia="Arial" w:hAnsi="Arial"/>
          <w:sz w:val="22"/>
          <w:szCs w:val="22"/>
          <w:rtl w:val="0"/>
        </w:rPr>
        <w:t xml:space="preserve">Foram eles: a Regressão Logística (0,826), o KNN (0,818) e o Random Forest (0,809).</w:t>
      </w:r>
    </w:p>
    <w:p w:rsidR="00000000" w:rsidDel="00000000" w:rsidP="00000000" w:rsidRDefault="00000000" w:rsidRPr="00000000" w14:paraId="0000006C">
      <w:pPr>
        <w:jc w:val="both"/>
        <w:rPr>
          <w:rFonts w:ascii="Arial" w:cs="Arial" w:eastAsia="Arial" w:hAnsi="Arial"/>
          <w:sz w:val="22"/>
          <w:szCs w:val="22"/>
        </w:rPr>
      </w:pPr>
      <w:r>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sz w:val="22"/>
          <w:szCs w:val="22"/>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Quais padrões, diferenças ou comportamentos relevantes foram observados entre os modelos?</w:t>
      </w:r>
      <w:r>
        <w:rPr>
          <w:rtl w:val="0"/>
        </w:rPr>
      </w:r>
    </w:p>
    <w:p>
      <w:pPr>
        <w:jc w:val="both"/>
        <w:rPr>
          <w:rFonts w:ascii="Arial" w:cs="Arial" w:eastAsia="Arial" w:hAnsi="Arial"/>
          <w:sz w:val="22"/>
          <w:szCs w:val="22"/>
        </w:rPr>
      </w:pPr>
      <w:r>
        <w:rPr>
          <w:rFonts w:ascii="Arial" w:cs="Arial" w:eastAsia="Arial" w:hAnsi="Arial"/>
          <w:sz w:val="22"/>
          <w:szCs w:val="22"/>
          <w:rtl w:val="0"/>
        </w:rPr>
        <w:t xml:space="preserve">Entre os modelos, percebe-se que os não lineares desempenharam, de forma geral, pior do que o único linear, tanto no F1-score quanto na Acurácia, apesar da diferença entre os três primeiros lugares ser menor que os seus desvios padrão, indicando que eles estão praticamente empatados. Podemos destacar também que os modelos mais flexíveis, como a Rede Neural e o Gradient Boosting, não superaram os mais simples, como Regressão Logística e KNN.</w:t>
      </w:r>
    </w:p>
    <w:p w:rsidR="00000000" w:rsidDel="00000000" w:rsidP="00000000" w:rsidRDefault="00000000" w:rsidRPr="00000000" w14:paraId="0000006F">
      <w:pPr>
        <w:jc w:val="both"/>
        <w:rPr>
          <w:rFonts w:ascii="Arial" w:cs="Arial" w:eastAsia="Arial" w:hAnsi="Arial"/>
          <w:sz w:val="22"/>
          <w:szCs w:val="22"/>
        </w:rPr>
      </w:pPr>
      <w:r>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sz w:val="22"/>
          <w:szCs w:val="22"/>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O que os resultados sugerem sobre o problema e/ou sobre os dados?</w:t>
      </w:r>
      <w:r>
        <w:rPr>
          <w:rtl w:val="0"/>
        </w:rPr>
      </w:r>
    </w:p>
    <w:p>
      <w:pPr>
        <w:jc w:val="both"/>
        <w:rPr>
          <w:rFonts w:ascii="Arial" w:cs="Arial" w:eastAsia="Arial" w:hAnsi="Arial"/>
          <w:sz w:val="22"/>
          <w:szCs w:val="22"/>
        </w:rPr>
      </w:pPr>
      <w:r>
        <w:rPr>
          <w:rFonts w:ascii="Arial" w:cs="Arial" w:eastAsia="Arial" w:hAnsi="Arial"/>
          <w:sz w:val="22"/>
          <w:szCs w:val="22"/>
          <w:rtl w:val="0"/>
        </w:rPr>
        <w:t xml:space="preserve">Considerando que, em especial, a Regressão Logística desempenhou tão bem, os resultados sugerem que, provavelmente, esse problema possui uma tendência linear de mapeamento de dados-alvo/fronteira de decisão aproximadamente linear. Além disso, já que temos relativamente poucas instâncias para utilizar, modelos que são mais afetados pela variância (Árvore de Decisão e Rede Neural) acabam sofrendo nos resultados.</w:t>
      </w:r>
    </w:p>
    <w:p w:rsidR="00000000" w:rsidDel="00000000" w:rsidP="00000000" w:rsidRDefault="00000000" w:rsidRPr="00000000" w14:paraId="00000072">
      <w:pPr>
        <w:pStyle w:val="Heading1"/>
        <w:jc w:val="both"/>
        <w:rPr>
          <w:rFonts w:ascii="Arial" w:cs="Arial" w:eastAsia="Arial" w:hAnsi="Arial"/>
          <w:sz w:val="22"/>
          <w:szCs w:val="22"/>
        </w:rPr>
      </w:pPr>
      <w:r>
        <w:rPr>
          <w:rFonts w:ascii="Arial" w:cs="Arial" w:eastAsia="Arial" w:hAnsi="Arial"/>
          <w:sz w:val="22"/>
          <w:szCs w:val="22"/>
          <w:rtl w:val="0"/>
        </w:rPr>
        <w:t xml:space="preserve">7. Seleção dos modelos para o T2</w:t>
      </w:r>
    </w:p>
    <w:p w:rsidR="00000000" w:rsidDel="00000000" w:rsidP="00000000" w:rsidRDefault="00000000" w:rsidRPr="00000000" w14:paraId="00000073">
      <w:pPr>
        <w:jc w:val="both"/>
        <w:rPr>
          <w:rFonts w:ascii="Arial" w:cs="Arial" w:eastAsia="Arial" w:hAnsi="Arial"/>
          <w:sz w:val="22"/>
          <w:szCs w:val="22"/>
        </w:rPr>
      </w:pPr>
      <w:r>
        <w:rPr>
          <w:rtl w:val="0"/>
        </w:rPr>
      </w:r>
    </w:p>
    <w:p w:rsidR="00000000" w:rsidDel="00000000" w:rsidP="00000000" w:rsidRDefault="00000000" w:rsidRPr="00000000" w14:paraId="00000074">
      <w:pPr>
        <w:jc w:val="both"/>
        <w:rPr>
          <w:rFonts w:ascii="Arial" w:cs="Arial" w:eastAsia="Arial" w:hAnsi="Arial"/>
          <w:sz w:val="22"/>
          <w:szCs w:val="22"/>
        </w:rPr>
      </w:pPr>
      <w:r>
        <w:rPr>
          <w:rFonts w:ascii="Arial" w:cs="Arial" w:eastAsia="Arial" w:hAnsi="Arial"/>
          <w:sz w:val="22"/>
          <w:szCs w:val="22"/>
          <w:rtl w:val="0"/>
        </w:rPr>
        <w:t xml:space="preserve">Relate sobre os modelos selecionados para o T2 e justifique a escolha com base nos resultados do Spot-Checking. A seleção não precisa considerar apenas a maior métrica: aspectos como comportamento observado, características do problema e possibilidade de aprofundamento também podem ser considerados, desde que explicitados.</w:t>
      </w:r>
      <w:r>
        <w:rPr>
          <w:rtl w:val="0"/>
        </w:rPr>
      </w:r>
    </w:p>
    <w:p>
      <w:pPr>
        <w:jc w:val="both"/>
        <w:rPr>
          <w:rFonts w:ascii="Arial" w:cs="Arial" w:eastAsia="Arial" w:hAnsi="Arial"/>
          <w:sz w:val="22"/>
          <w:szCs w:val="22"/>
        </w:rPr>
      </w:pPr>
      <w:r>
        <w:rPr>
          <w:rFonts w:ascii="Arial" w:cs="Arial" w:eastAsia="Arial" w:hAnsi="Arial"/>
          <w:sz w:val="22"/>
          <w:szCs w:val="22"/>
          <w:rtl w:val="0"/>
        </w:rPr>
        <w:t xml:space="preserve">Selecionamos os modelos </w:t>
      </w:r>
      <w:r>
        <w:rPr>
          <w:rFonts w:ascii="Arial" w:cs="Arial" w:eastAsia="Arial" w:hAnsi="Arial"/>
          <w:b w:val="1"/>
          <w:bCs w:val="1"/>
          <w:sz w:val="22"/>
          <w:szCs w:val="22"/>
          <w:rtl w:val="0"/>
        </w:rPr>
        <w:t xml:space="preserve">Regressão Logística, KNN e Random Forest</w:t>
      </w:r>
      <w:r>
        <w:rPr>
          <w:rFonts w:ascii="Arial" w:cs="Arial" w:eastAsia="Arial" w:hAnsi="Arial"/>
          <w:sz w:val="22"/>
          <w:szCs w:val="22"/>
          <w:rtl w:val="0"/>
        </w:rPr>
        <w:t xml:space="preserve"> para o T2, especialmente pelo fato de possuírem as três maiores médias de F1 no spot-checking, mas também porque representam modelos inerentemente interpretáveis (Regressão e KNN, apesar do KNN sofrer um pouco pelos dados possuírem alta dimensionalidade) ou derivado do ensemble de modelos inerentemente interpretáveis (Random Forest, apesar de não ser propriamente interpretável) - assim, entendemos que será mais fácil e intuitivo realizar o julgamento e tomada de decisões quando eventualmente precisarmos no segundo trabalho. Além disso, será especialmente interessante realizar a comparação entre um modelo "preguiçoso"/que não constrói um modelo no treinamento e possui 1 hiperparâmetro principal, um modelo linear único com poucos hiperparâmetros e um modelo que é um ensemble de vários outros modelos treinados (árvores) com muitos hiperparâmetros.</w:t>
      </w:r>
    </w:p>
    <w:p w:rsidR="00000000" w:rsidDel="00000000" w:rsidP="00000000" w:rsidRDefault="00000000" w:rsidRPr="00000000" w14:paraId="00000075">
      <w:pPr>
        <w:pStyle w:val="Heading1"/>
        <w:jc w:val="both"/>
        <w:rPr>
          <w:rFonts w:ascii="Arial" w:cs="Arial" w:eastAsia="Arial" w:hAnsi="Arial"/>
          <w:sz w:val="22"/>
          <w:szCs w:val="22"/>
        </w:rPr>
      </w:pPr>
      <w:r>
        <w:rPr>
          <w:rFonts w:ascii="Arial" w:cs="Arial" w:eastAsia="Arial" w:hAnsi="Arial"/>
          <w:sz w:val="22"/>
          <w:szCs w:val="22"/>
          <w:rtl w:val="0"/>
        </w:rPr>
        <w:t xml:space="preserve">Uso de IA Generativa</w:t>
      </w:r>
    </w:p>
    <w:p w:rsidR="00000000" w:rsidDel="00000000" w:rsidP="00000000" w:rsidRDefault="00000000" w:rsidRPr="00000000" w14:paraId="00000076">
      <w:pPr>
        <w:jc w:val="both"/>
        <w:rPr>
          <w:rFonts w:ascii="Arial" w:cs="Arial" w:eastAsia="Arial" w:hAnsi="Arial"/>
          <w:b w:val="1"/>
          <w:bCs w:val="1"/>
          <w:sz w:val="22"/>
          <w:szCs w:val="22"/>
        </w:rPr>
      </w:pPr>
      <w:r>
        <w:rPr>
          <w:rFonts w:ascii="Arial" w:cs="Arial" w:eastAsia="Arial" w:hAnsi="Arial"/>
          <w:sz w:val="22"/>
          <w:szCs w:val="22"/>
          <w:rtl w:val="0"/>
        </w:rPr>
        <w:t xml:space="preserve">Ferramentas de Inteligência Artificial Generativa podem ser utilizadas como recurso complementar durante a realização do trabalho, por exemplo, para esclarecer conceitos, sugerir alternativas, auxiliar na identificação de erros ou apoiar a organização do código e do texto. Entretanto, seu uso não substitui a análise e a tomada de decisão pelos estudantes. Todas as decisões metodológicas, implementações, resultados e interpretações apresentadas no trabalho devem ser compreendidas pelos autores, que devem ser capazes de explicar e justificar as escolhas realizadas e os resultados obtidos. </w:t>
      </w:r>
      <w:r>
        <w:rPr>
          <w:rFonts w:ascii="Arial" w:cs="Arial" w:eastAsia="Arial" w:hAnsi="Arial"/>
          <w:b w:val="1"/>
          <w:bCs w:val="1"/>
          <w:sz w:val="22"/>
          <w:szCs w:val="22"/>
          <w:rtl w:val="0"/>
        </w:rPr>
        <w:t xml:space="preserve">Quando o uso de IA Generativa tiver contribuído de forma relevante para o desenvolvimento do trabalho, isso deve ser informado neste relatório, conforme as orientações da disciplina.</w:t>
      </w:r>
    </w:p>
    <w:p>
      <w:pPr>
        <w:jc w:val="both"/>
        <w:rPr>
          <w:rFonts w:ascii="Arial" w:cs="Arial" w:eastAsia="Arial" w:hAnsi="Arial"/>
          <w:sz w:val="22"/>
          <w:szCs w:val="22"/>
        </w:rPr>
      </w:pPr>
      <w:r>
        <w:rPr>
          <w:rFonts w:ascii="Arial" w:cs="Arial" w:eastAsia="Arial" w:hAnsi="Arial"/>
          <w:sz w:val="22"/>
          <w:szCs w:val="22"/>
          <w:rtl w:val="0"/>
        </w:rPr>
        <w:t xml:space="preserve">Utilizamos o Claude Opus 5.5 (Anthropic, 2026), por meio do Claude Code, como apoio: na análise exploratória e na geração de gráficos; na verificação da codificação do dataset do Kaggle em relação à base original da UCI; em sugestões de pré-processamento, métricas e protocolo de validação; na geração do código do notebook; e na estruturação e redação de rascunhos das seções descritivas (como tabelas) deste relatório, revisados pelo grupo. As decisões metodológicas (algoritmos, métrica principal, estratégia de validação e seleção dos modelos para o T2) foram tomadas pelo grupo, e a interpretação dos resultados é de nossa autoria.</w:t>
      </w:r>
    </w:p>
    <w:p>
      <w:pPr>
        <w:pStyle w:val="Heading2"/>
        <w:jc w:val="both"/>
        <w:rPr>
          <w:rFonts w:ascii="Arial" w:cs="Arial" w:eastAsia="Arial" w:hAnsi="Arial"/>
          <w:sz w:val="22"/>
          <w:szCs w:val="22"/>
        </w:rPr>
      </w:pPr>
      <w:r>
        <w:rPr>
          <w:rFonts w:ascii="Arial" w:cs="Arial" w:eastAsia="Arial" w:hAnsi="Arial"/>
          <w:sz w:val="22"/>
          <w:szCs w:val="22"/>
          <w:rtl w:val="0"/>
        </w:rPr>
        <w:t xml:space="preserve">Resumo dos prompts utilizados</w:t>
      </w:r>
    </w:p>
    <w:p>
      <w:pPr>
        <w:spacing w:after="80" w:before="0"/>
        <w:ind w:left="360" w:right="0" w:hanging="360"/>
        <w:jc w:val="both"/>
        <w:rPr>
          <w:rFonts w:ascii="Arial" w:cs="Arial" w:eastAsia="Arial" w:hAnsi="Arial"/>
          <w:sz w:val="22"/>
          <w:szCs w:val="22"/>
        </w:rPr>
      </w:pPr>
      <w:r>
        <w:rPr>
          <w:rFonts w:ascii="Arial" w:cs="Arial" w:eastAsia="Arial" w:hAnsi="Arial"/>
          <w:sz w:val="22"/>
          <w:szCs w:val="22"/>
          <w:rtl w:val="0"/>
        </w:rPr>
        <w:t xml:space="preserve">1. Realizar a análise exploratória dos dados (passo 1 do enunciado) no notebook, tomando como base o enunciado e os notebooks da disciplina e considerando que o projeto seria levado ao Google Colab.</w:t>
      </w:r>
    </w:p>
    <w:p>
      <w:pPr>
        <w:spacing w:after="80" w:before="0"/>
        <w:ind w:left="360" w:right="0" w:hanging="360"/>
        <w:jc w:val="both"/>
        <w:rPr>
          <w:rFonts w:ascii="Arial" w:cs="Arial" w:eastAsia="Arial" w:hAnsi="Arial"/>
          <w:sz w:val="22"/>
          <w:szCs w:val="22"/>
        </w:rPr>
      </w:pPr>
      <w:r>
        <w:rPr>
          <w:rFonts w:ascii="Arial" w:cs="Arial" w:eastAsia="Arial" w:hAnsi="Arial"/>
          <w:sz w:val="22"/>
          <w:szCs w:val="22"/>
          <w:rtl w:val="0"/>
        </w:rPr>
        <w:t xml:space="preserve">2. Incluir na EDA gráficos que ajudassem a visualizar o que precisaria de pré-processamento.</w:t>
      </w:r>
    </w:p>
    <w:p>
      <w:pPr>
        <w:spacing w:after="80" w:before="0"/>
        <w:ind w:left="360" w:right="0" w:hanging="360"/>
        <w:jc w:val="both"/>
        <w:rPr>
          <w:rFonts w:ascii="Arial" w:cs="Arial" w:eastAsia="Arial" w:hAnsi="Arial"/>
          <w:sz w:val="22"/>
          <w:szCs w:val="22"/>
        </w:rPr>
      </w:pPr>
      <w:r>
        <w:rPr>
          <w:rFonts w:ascii="Arial" w:cs="Arial" w:eastAsia="Arial" w:hAnsi="Arial"/>
          <w:sz w:val="22"/>
          <w:szCs w:val="22"/>
          <w:rtl w:val="0"/>
        </w:rPr>
        <w:t xml:space="preserve">3. Dividir os dados em treino e teste antes do pré-processamento, para evitar data leakage.</w:t>
      </w:r>
    </w:p>
    <w:p>
      <w:pPr>
        <w:spacing w:after="80" w:before="0"/>
        <w:ind w:left="360" w:right="0" w:hanging="360"/>
        <w:jc w:val="both"/>
        <w:rPr>
          <w:rFonts w:ascii="Arial" w:cs="Arial" w:eastAsia="Arial" w:hAnsi="Arial"/>
          <w:sz w:val="22"/>
          <w:szCs w:val="22"/>
        </w:rPr>
      </w:pPr>
      <w:r>
        <w:rPr>
          <w:rFonts w:ascii="Arial" w:cs="Arial" w:eastAsia="Arial" w:hAnsi="Arial"/>
          <w:sz w:val="22"/>
          <w:szCs w:val="22"/>
          <w:rtl w:val="0"/>
        </w:rPr>
        <w:t xml:space="preserve">4. Preencher o relatório conforme o andamento, seguindo o template; verificar se os valores de ca e thal eram realmente inválidos, considerando a descrição do Kaggle; remover da EDA as seções consideradas desnecessárias e reorganizar a numeração.</w:t>
      </w:r>
    </w:p>
    <w:p>
      <w:pPr>
        <w:spacing w:after="80" w:before="0"/>
        <w:ind w:left="360" w:right="0" w:hanging="360"/>
        <w:jc w:val="both"/>
        <w:rPr>
          <w:rFonts w:ascii="Arial" w:cs="Arial" w:eastAsia="Arial" w:hAnsi="Arial"/>
          <w:sz w:val="22"/>
          <w:szCs w:val="22"/>
        </w:rPr>
      </w:pPr>
      <w:r>
        <w:rPr>
          <w:rFonts w:ascii="Arial" w:cs="Arial" w:eastAsia="Arial" w:hAnsi="Arial"/>
          <w:sz w:val="22"/>
          <w:szCs w:val="22"/>
          <w:rtl w:val="0"/>
        </w:rPr>
        <w:t xml:space="preserve">5. Explicar com que evidência foi concluído que o target estava invertido; juntar e remover seções da EDA; iniciar o pré-processamento (normalização, remoção da duplicata e imputação pela mediana), justificando cada decisão; implementar a definição do problema com a abordagem e os algoritmos escolhidos pelo grupo; opinar sobre F1 vs acurácia e sobre o uso de nested cross-validation; executar as repetições do treinamento; consultar o grupo antes de qualquer decisão. Nas perguntas feitas pela IA, o grupo decidiu: divisão treino/teste no pré-processamento, alvo recodificado (1 = com doença), validação 5 folds × 10 repetições, Árvore de Decisão e MLP com max_iter = 1000, e one-hot encoding dos atributos nominais.</w:t>
      </w:r>
    </w:p>
    <w:p>
      <w:pPr>
        <w:spacing w:after="80" w:before="0"/>
        <w:ind w:left="360" w:right="0" w:hanging="360"/>
        <w:jc w:val="both"/>
        <w:rPr>
          <w:rFonts w:ascii="Arial" w:cs="Arial" w:eastAsia="Arial" w:hAnsi="Arial"/>
          <w:sz w:val="22"/>
          <w:szCs w:val="22"/>
        </w:rPr>
      </w:pPr>
      <w:r>
        <w:rPr>
          <w:rFonts w:ascii="Arial" w:cs="Arial" w:eastAsia="Arial" w:hAnsi="Arial"/>
          <w:sz w:val="22"/>
          <w:szCs w:val="22"/>
          <w:rtl w:val="0"/>
        </w:rPr>
        <w:t xml:space="preserve">6. Completar as referências com as fontes usadas para identificar as inconsistências do dataset do Kaggle.</w:t>
      </w:r>
    </w:p>
    <w:p>
      <w:pPr>
        <w:spacing w:after="80" w:before="0"/>
        <w:ind w:left="360" w:right="0" w:hanging="360"/>
        <w:jc w:val="both"/>
        <w:rPr>
          <w:rFonts w:ascii="Arial" w:cs="Arial" w:eastAsia="Arial" w:hAnsi="Arial"/>
          <w:sz w:val="22"/>
          <w:szCs w:val="22"/>
        </w:rPr>
      </w:pPr>
      <w:r>
        <w:rPr>
          <w:rFonts w:ascii="Arial" w:cs="Arial" w:eastAsia="Arial" w:hAnsi="Arial"/>
          <w:sz w:val="22"/>
          <w:szCs w:val="22"/>
          <w:rtl w:val="0"/>
        </w:rPr>
        <w:t xml:space="preserve">7. Separar o spot-checking em subseções por modelo, com estatísticas e um breve resumo de cada algoritmo; reorganizar seções do pré-processamento; declarar o uso de IA conforme os documentos da disciplina e apontar usos que não fossem permitidos; incluir a conclusão com os três modelos selecionados pelo grupo e os dados de suporte.</w:t>
      </w:r>
    </w:p>
    <w:p>
      <w:pPr>
        <w:spacing w:after="80" w:before="0"/>
        <w:ind w:left="360" w:right="0" w:hanging="360"/>
        <w:jc w:val="both"/>
        <w:rPr>
          <w:rFonts w:ascii="Arial" w:cs="Arial" w:eastAsia="Arial" w:hAnsi="Arial"/>
          <w:sz w:val="22"/>
          <w:szCs w:val="22"/>
        </w:rPr>
      </w:pPr>
      <w:r>
        <w:rPr>
          <w:rFonts w:ascii="Arial" w:cs="Arial" w:eastAsia="Arial" w:hAnsi="Arial"/>
          <w:sz w:val="22"/>
          <w:szCs w:val="22"/>
          <w:rtl w:val="0"/>
        </w:rPr>
        <w:t xml:space="preserve">8. Remover travessões; inserir o gráfico comparativo; reordenar as referências; tirar dúvidas conceituais (uso do conjunto de teste na seleção de modelos, marcação vs imputação, ROC-AUC, contagem das classes após a correção do alvo e necessidade de normalização); revisar a integridade dos textos editados pelo grupo e as respostas das seções 6 e 7; discutir o uso de IA no trabalho.</w:t>
      </w:r>
    </w:p>
    <w:p>
      <w:pPr>
        <w:spacing w:after="80" w:before="0"/>
        <w:ind w:left="360" w:right="0" w:hanging="360"/>
        <w:jc w:val="both"/>
        <w:rPr>
          <w:rFonts w:ascii="Arial" w:cs="Arial" w:eastAsia="Arial" w:hAnsi="Arial"/>
          <w:sz w:val="22"/>
          <w:szCs w:val="22"/>
        </w:rPr>
      </w:pPr>
      <w:r>
        <w:rPr>
          <w:rFonts w:ascii="Arial" w:cs="Arial" w:eastAsia="Arial" w:hAnsi="Arial"/>
          <w:sz w:val="22"/>
          <w:szCs w:val="22"/>
          <w:rtl w:val="0"/>
        </w:rPr>
        <w:t xml:space="preserve">9. Levar as atualizações do relatório em Markdown para o .docx; tirar dúvidas sobre a ordem da marcação dos ausentes, o número de hiperparâmetros dos modelos, a pré-poda nas árvores, outros padrões observados entre os modelos e a terceira pergunta da seção 6; resumir os prompts nesta subseção.</w:t>
      </w:r>
    </w:p>
    <w:p>
      <w:pPr>
        <w:spacing w:after="80" w:before="0"/>
        <w:ind w:left="360" w:right="0" w:hanging="360"/>
        <w:jc w:val="both"/>
        <w:rPr>
          <w:rFonts w:ascii="Arial" w:cs="Arial" w:eastAsia="Arial" w:hAnsi="Arial"/>
          <w:sz w:val="22"/>
          <w:szCs w:val="22"/>
        </w:rPr>
      </w:pPr>
      <w:r>
        <w:rPr>
          <w:rFonts w:ascii="Arial" w:cs="Arial" w:eastAsia="Arial" w:hAnsi="Arial"/>
          <w:sz w:val="22"/>
          <w:szCs w:val="22"/>
          <w:rtl w:val="0"/>
        </w:rPr>
        <w:t xml:space="preserve">10. Verificar a consistência entre o notebook e o relatório e apontar trechos que ainda precisavam ser preenchidos ou removidos.</w:t>
      </w:r>
    </w:p>
    <w:p>
      <w:pPr>
        <w:spacing w:after="80" w:before="0"/>
        <w:ind w:left="360" w:right="0" w:hanging="360"/>
        <w:jc w:val="both"/>
        <w:rPr>
          <w:rFonts w:ascii="Arial" w:cs="Arial" w:eastAsia="Arial" w:hAnsi="Arial"/>
          <w:sz w:val="22"/>
          <w:szCs w:val="22"/>
        </w:rPr>
      </w:pPr>
      <w:r>
        <w:rPr>
          <w:rFonts w:ascii="Arial" w:cs="Arial" w:eastAsia="Arial" w:hAnsi="Arial"/>
          <w:sz w:val="22"/>
          <w:szCs w:val="22"/>
          <w:rtl w:val="0"/>
        </w:rPr>
        <w:t xml:space="preserve">11. Verificar novamente a consistência dos arquivos; remover a página de orientações do template; padronizar o nome "Vítor" com acento; registrar as alterações em commits.</w:t>
      </w:r>
    </w:p>
    <w:p w:rsidR="00000000" w:rsidDel="00000000" w:rsidP="00000000" w:rsidRDefault="00000000" w:rsidRPr="00000000" w14:paraId="00000077">
      <w:pPr>
        <w:pStyle w:val="Heading1"/>
        <w:jc w:val="both"/>
        <w:rPr>
          <w:rFonts w:ascii="Arial" w:cs="Arial" w:eastAsia="Arial" w:hAnsi="Arial"/>
          <w:sz w:val="22"/>
          <w:szCs w:val="22"/>
        </w:rPr>
      </w:pPr>
      <w:bookmarkStart w:colFirst="0" w:colLast="0" w:name="_heading=h.ujqo1hw6u0tc" w:id="1"/>
      <w:bookmarkEnd w:id="1"/>
      <w:r>
        <w:rPr>
          <w:rFonts w:ascii="Arial" w:cs="Arial" w:eastAsia="Arial" w:hAnsi="Arial"/>
          <w:sz w:val="22"/>
          <w:szCs w:val="22"/>
          <w:rtl w:val="0"/>
        </w:rPr>
        <w:t xml:space="preserve">Referências utilizadas</w:t>
      </w:r>
    </w:p>
    <w:p w:rsidR="00000000" w:rsidDel="00000000" w:rsidP="00000000" w:rsidRDefault="00000000" w:rsidRPr="00000000" w14:paraId="00000078">
      <w:pPr>
        <w:rPr/>
      </w:pPr>
      <w:r>
        <w:rPr>
          <w:rtl w:val="0"/>
        </w:rPr>
        <w:t xml:space="preserve">Cite as referências utilizadas no desenvolvimento do trabalho.</w:t>
      </w:r>
    </w:p>
    <w:p>
      <w:pPr>
        <w:jc w:val="left"/>
        <w:rPr>
          <w:rFonts w:ascii="Arial" w:cs="Arial" w:eastAsia="Arial" w:hAnsi="Arial"/>
          <w:sz w:val="22"/>
          <w:szCs w:val="22"/>
        </w:rPr>
      </w:pPr>
      <w:r>
        <w:rPr>
          <w:rFonts w:ascii="Arial" w:cs="Arial" w:eastAsia="Arial" w:hAnsi="Arial"/>
          <w:sz w:val="22"/>
          <w:szCs w:val="22"/>
          <w:rtl w:val="0"/>
        </w:rPr>
        <w:t xml:space="preserve">BHAT, N. Health care: Data set on Heart attack possibility. Kaggle. Disponível em: https://www.kaggle.com/datasets/nareshbhat/health-care-data-set-on-heart-attack-possibility. Acesso em: 20 out. 2026.</w:t>
      </w:r>
    </w:p>
    <w:p>
      <w:pPr>
        <w:jc w:val="left"/>
        <w:rPr>
          <w:rFonts w:ascii="Arial" w:cs="Arial" w:eastAsia="Arial" w:hAnsi="Arial"/>
          <w:sz w:val="22"/>
          <w:szCs w:val="22"/>
        </w:rPr>
      </w:pPr>
      <w:r>
        <w:rPr>
          <w:rFonts w:ascii="Arial" w:cs="Arial" w:eastAsia="Arial" w:hAnsi="Arial"/>
          <w:sz w:val="22"/>
          <w:szCs w:val="22"/>
          <w:rtl w:val="0"/>
        </w:rPr>
        <w:t xml:space="preserve">JANOSI, A.; STEINBRUNN, W.; PFISTERER, M.; DETRANO, R. Heart Disease [conjunto de dados]. UCI Machine Learning Repository, 1988. DOI: https://doi.org/10.24432/C52P4X. Disponível em: https://archive.ics.uci.edu/dataset/45/heart+disease. Acesso em: 20 out. 2026.</w:t>
      </w:r>
    </w:p>
    <w:p>
      <w:pPr>
        <w:jc w:val="left"/>
        <w:rPr>
          <w:rFonts w:ascii="Arial" w:cs="Arial" w:eastAsia="Arial" w:hAnsi="Arial"/>
          <w:sz w:val="22"/>
          <w:szCs w:val="22"/>
        </w:rPr>
      </w:pPr>
      <w:r>
        <w:rPr>
          <w:rFonts w:ascii="Arial" w:cs="Arial" w:eastAsia="Arial" w:hAnsi="Arial"/>
          <w:sz w:val="22"/>
          <w:szCs w:val="22"/>
          <w:rtl w:val="0"/>
        </w:rPr>
        <w:t xml:space="preserve">UCI MACHINE LEARNING REPOSITORY. Heart Disease: arquivos processed.cleveland.data (dados originais da base Cleveland, com valores ausentes marcados por "?") e heart-disease.names (documentação dos atributos). Disponível em: https://archive.ics.uci.edu/ml/machine-learning-databases/heart-disease/. Acesso em: 20 out. 2026. Utilizados para verificar a codificação de ca, thal e target na versão do Kaggle.</w:t>
      </w:r>
    </w:p>
    <w:p>
      <w:pPr>
        <w:jc w:val="left"/>
        <w:rPr>
          <w:rFonts w:ascii="Arial" w:cs="Arial" w:eastAsia="Arial" w:hAnsi="Arial"/>
          <w:sz w:val="22"/>
          <w:szCs w:val="22"/>
        </w:rPr>
      </w:pPr>
      <w:r>
        <w:rPr>
          <w:rFonts w:ascii="Arial" w:cs="Arial" w:eastAsia="Arial" w:hAnsi="Arial"/>
          <w:sz w:val="22"/>
          <w:szCs w:val="22"/>
          <w:rtl w:val="0"/>
        </w:rPr>
        <w:t xml:space="preserve">DETRANO, R. et al. International application of a new probability algorithm for the diagnosis of coronary artery disease. American Journal of Cardiology, v. 64, n. 5, p. 304-310, 1989.</w:t>
      </w:r>
    </w:p>
    <w:p>
      <w:pPr>
        <w:jc w:val="left"/>
        <w:rPr>
          <w:rFonts w:ascii="Arial" w:cs="Arial" w:eastAsia="Arial" w:hAnsi="Arial"/>
          <w:sz w:val="22"/>
          <w:szCs w:val="22"/>
        </w:rPr>
      </w:pPr>
      <w:r>
        <w:rPr>
          <w:rFonts w:ascii="Arial" w:cs="Arial" w:eastAsia="Arial" w:hAnsi="Arial"/>
          <w:sz w:val="22"/>
          <w:szCs w:val="22"/>
          <w:rtl w:val="0"/>
        </w:rPr>
        <w:t xml:space="preserve">PEDREGOSA, F. et al. Scikit-learn: Machine Learning in Python. Journal of Machine Learning Research, v. 12, p. 2825-2830, 2011.</w:t>
      </w:r>
    </w:p>
    <w:p>
      <w:pPr>
        <w:jc w:val="left"/>
        <w:rPr>
          <w:rFonts w:ascii="Arial" w:cs="Arial" w:eastAsia="Arial" w:hAnsi="Arial"/>
          <w:sz w:val="22"/>
          <w:szCs w:val="22"/>
        </w:rPr>
      </w:pPr>
      <w:r>
        <w:rPr>
          <w:rFonts w:ascii="Arial" w:cs="Arial" w:eastAsia="Arial" w:hAnsi="Arial"/>
          <w:sz w:val="22"/>
          <w:szCs w:val="22"/>
          <w:rtl w:val="0"/>
        </w:rPr>
        <w:t xml:space="preserve">Anthropic. (2026). Claude (Opus 5.5) [Large language model]. Claude Code. https://www.anthropic.com/claude-code</w:t>
      </w:r>
    </w:p>
    <w:p w:rsidR="00000000" w:rsidDel="00000000" w:rsidP="00000000" w:rsidRDefault="00000000" w:rsidRPr="00000000" w14:paraId="00000079">
      <w:pPr>
        <w:jc w:val="both"/>
        <w:rPr>
          <w:rFonts w:ascii="Arial" w:cs="Arial" w:eastAsia="Arial" w:hAnsi="Arial"/>
          <w:sz w:val="22"/>
          <w:szCs w:val="22"/>
        </w:rPr>
      </w:pPr>
      <w:r>
        <w:rPr>
          <w:rtl w:val="0"/>
        </w:rPr>
      </w:r>
    </w:p>
    <w:sectPr>
      <w:footerReference r:id="rId7" w:type="default"/>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6"/>
        <w:szCs w:val="16"/>
        <w:u w:val="none"/>
        <w:shd w:fill="auto" w:val="clear"/>
        <w:vertAlign w:val="baseline"/>
        <w:rtl w:val="0"/>
      </w:rPr>
      <w:t xml:space="preserve">T1 — Spot-Check Summary</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366091"/>
      <w:sz w:val="28"/>
      <w:szCs w:val="28"/>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color w:val="17365d"/>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Colab" Type="http://schemas.openxmlformats.org/officeDocument/2006/relationships/hyperlink" Target="https://colab.research.google.com/drive/1RlvYrCOHP42hWTWEHPSErE1awk6hvJ6-?usp=sharing" TargetMode="External"/><Relationship Id="rIdKaggle" Type="http://schemas.openxmlformats.org/officeDocument/2006/relationships/hyperlink" Target="https://www.kaggle.com/datasets/nareshbhat/health-care-data-set-on-heart-attack-possibility" TargetMode="External"/><Relationship Id="rIdGraficoF1" Type="http://schemas.openxmlformats.org/officeDocument/2006/relationships/image" Target="media/grafico_comparativo_f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GOocbzVwd3sUjn4MnWG9tPDOpA==">CgMxLjAyDmgubW1ib3JkOHFyM240Mg5oLnVqcW8xaHc2dTB0YzgAciExZnZQZW91QURsTzkzZG00MERVdDJqVTk1QXFoeGxZR28=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