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59017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12529"/>
          <w:sz w:val="24"/>
          <w:szCs w:val="24"/>
          <w:lang w:val="pt-BR"/>
        </w:rPr>
      </w:pPr>
    </w:p>
    <w:p w14:paraId="3841F668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12529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12529"/>
          <w:sz w:val="24"/>
          <w:szCs w:val="24"/>
          <w:lang w:val="pt-BR"/>
        </w:rPr>
        <w:t>Banco de dados</w:t>
      </w:r>
    </w:p>
    <w:p w14:paraId="449FA35B">
      <w:pPr>
        <w:spacing w:before="240" w:beforeAutospacing="0" w:after="240" w:afterAutospacing="0" w:line="360" w:lineRule="auto"/>
        <w:ind w:firstLine="960" w:firstLineChars="40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  <w:lang w:val="pt-BR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12529"/>
          <w:sz w:val="24"/>
          <w:szCs w:val="24"/>
          <w:lang w:val="pt-BR"/>
        </w:rPr>
        <w:t xml:space="preserve">Segundo Date (2004), um banco de dados é um conjunto organizado de informações que podem ser acessadas e manipuladas de forma eficiente por meio de um sistema gerenciador. </w:t>
      </w:r>
    </w:p>
    <w:p w14:paraId="7798A729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12529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12529"/>
          <w:sz w:val="24"/>
          <w:szCs w:val="24"/>
          <w:lang w:val="pt-BR"/>
        </w:rPr>
        <w:t xml:space="preserve">Desenvolvimento de Software </w:t>
      </w:r>
    </w:p>
    <w:p w14:paraId="7AAC2D69">
      <w:pPr>
        <w:spacing w:before="240" w:beforeAutospacing="0" w:after="240" w:afterAutospacing="0" w:line="360" w:lineRule="auto"/>
        <w:ind w:firstLine="960" w:firstLineChars="40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O desenvolvimento de software é uma abordagem sistemática para transformar requisitos em um produto de software funcional. De acordo com Pressman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(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2016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)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, o processo de desenvolvimento de software inclui atividades interdependentes, como levantamento de requisitos, design, codificação, testes e manutenção. Juntos, o objetivo de todas essas fases é garantir a qualidade e a confiabilidade do sistema final.</w:t>
      </w:r>
    </w:p>
    <w:p w14:paraId="3EAC0954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sz w:val="24"/>
          <w:szCs w:val="24"/>
          <w:lang w:val="pt-BR"/>
        </w:rPr>
        <w:t xml:space="preserve">Empreendedorismo </w:t>
      </w:r>
    </w:p>
    <w:p w14:paraId="41CE5BF3">
      <w:pPr>
        <w:spacing w:before="240" w:beforeAutospacing="0" w:after="240" w:afterAutospacing="0" w:line="360" w:lineRule="auto"/>
        <w:ind w:firstLine="600" w:firstLineChars="2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Segundo Dornelas (2018) O empreendedorismo, portanto, pode ser classificado como um processo dinâmico de criação de valor, no qual os indivíduos veem oportunidades e mobilizam recursos para criar novos produtos, serviços ou empresas. Para Dornelas, o empreendedor é o agente que faz com que algo seja feito e não fique só na teoria, ou seja, assume riscos calculados constantemente inovando para gerar benefícios, econômicos e outros. Ademais, Hisrich, Peters e Shepherd apontam que o empreendedorismo não se limita à criação de empresas, podendo ser inserido em uma empresa existente, capacidade essa chamada de entepreneurship. Com efeito, o ciclo de vida do comportamento empreendedor é essencial para o crescimento econômico e a sustentabilidade e competitividade em um ambiente de inovação e mudanças radicais.</w:t>
      </w:r>
    </w:p>
    <w:p w14:paraId="15E8DB2D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Engenharia de Software 1 </w:t>
      </w:r>
    </w:p>
    <w:p w14:paraId="387EE7B6">
      <w:pPr>
        <w:spacing w:before="240" w:beforeAutospacing="0" w:after="240" w:afterAutospacing="0" w:line="360" w:lineRule="auto"/>
        <w:ind w:firstLine="600" w:firstLineChars="2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Engenharia de Software I trata dos princípios, métodos e práticas usadas para fundamentar o desenvolvimento estruturado de sistemas computacionais. Segundo Pressman, sua finalidade é aplicar abordagens sistemáticas, disciplinadas e quantificáveis ao esforço de desenvolvimento, operação e manutenção do software, com o objetivo de aumentar a qualidade e minimizar custos. </w:t>
      </w:r>
    </w:p>
    <w:p w14:paraId="224C1D3E">
      <w:pPr>
        <w:spacing w:before="240" w:beforeAutospacing="0" w:after="240" w:afterAutospacing="0" w:line="360" w:lineRule="auto"/>
        <w:ind w:firstLine="600" w:firstLineChars="2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 acordo com Sommerville, O processo de engenharia de software envolve atividades essenciais como requisitos de software, projeto de software, codificação, verificação de software e validação software. Em consequência disso, Engenharia de Software I é importante para criar a moldura necessária em conhecimento e prática que é necessária para desenvolver sistemas com base no método eficaz.</w:t>
      </w:r>
    </w:p>
    <w:p w14:paraId="685A1189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Engenharia de Software 2</w:t>
      </w:r>
    </w:p>
    <w:p w14:paraId="3AB42EB7">
      <w:pPr>
        <w:spacing w:before="240" w:beforeAutospacing="0" w:after="240" w:afterAutospacing="0" w:line="360" w:lineRule="auto"/>
        <w:ind w:firstLine="600" w:firstLineChars="2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Segundo Pressman (2016) a Engenharia de Software II tem por objetivo aprofundar conceitos e técnicas já abordadas, destacando a qualidade, a manutenção e o gerenciamento de projetos de software. De acordo com Pfleeger e Atlee (2010), assegurar a qualidade de um software é uma atividade que se inicia por planejamento e termina com métricas e práticas de testes que garantam o atendimento dos requisitos especificados. Além disso, Pressman (2016) chama atenção para o fato de que, a manutenção de software é o estágio mais caro no ciclo de vida de sistema que exigirá técnicas apropriadas de documentação e controle de versões para garantir que a evolução do produto seja sustentável. Em vista disso, a disciplina de Engenharia de Software II apresenta ferramentas e não-metodologias para que os profissionais possam trabalhar com equipes, prazos e recursos de forma ótima e manter equilíbrio entre inovação e confiança.</w:t>
      </w:r>
    </w:p>
    <w:p w14:paraId="05A8FC29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sz w:val="24"/>
          <w:szCs w:val="24"/>
          <w:lang w:val="pt-BR"/>
        </w:rPr>
        <w:t xml:space="preserve">Gestão de Projeto De Software </w:t>
      </w:r>
    </w:p>
    <w:p w14:paraId="5F19F248">
      <w:pPr>
        <w:spacing w:before="240" w:beforeAutospacing="0" w:after="240" w:afterAutospacing="0" w:line="360" w:lineRule="auto"/>
        <w:ind w:firstLine="840" w:firstLineChars="3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gestão de projetos de software é um processo vital para garantir que o desenvolvimento de sistemas ocorra conforme o planejado, de maneira eficiente e esteja alinhado aos objetivos da organização. De acordo com Pressman, o gerenciamento de projetos de software refere-se à aplicação de conhecimento, habilidades e ferramentas para coordenar pessoas, recursos e atividades visando metas específicas em termos de tempo, prazo e orçamento. Sommerville ainda complementa que uma gestão de projetos eficaz é baseada numa definição clara de escopo, estimativa realista de esforço, monitoramento do progresso e mitigação de riscos para garantir que a entrega do produto ocorra. Além disso, Schwalbe destaca que, em um cenário de mudanças rápidas em tecnologia, um gestor de projetos de software precisa adotar abordagens flexíveis e iterativas, como as metodologias ágeis, para lidar com a incerteza e assegurar entregas contínuas de valor ao cliente. Portanto, a gestão de projetos de software é uma dimensão não apenas técnica, mas também estratégica, uma vez que afeta diretamente a qualidade, a custo e s banabilidade dos produtos desenvolvidos.</w:t>
      </w:r>
    </w:p>
    <w:p w14:paraId="4F03A64E">
      <w:pPr>
        <w:spacing w:before="240" w:beforeAutospacing="0" w:after="240" w:afterAutospacing="0" w:line="360" w:lineRule="auto"/>
        <w:ind w:firstLine="960" w:firstLineChars="40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A gestão de projetos de software é um processo essencial para garantir que o desenvolvimento de sistemas ocorra de forma planejada, eficiente e alinhada aos objetivos organizacionais. Segundo Pressman (2016), o gerenciamento de projetos de software envolve a aplicação de conhecimentos, habilidades e ferramentas para coordenar pessoas, recursos e atividades com o intuito de alcançar metas específicas dentro de prazos e orçamentos definidos. Sommerville (2019) complementa que a gestão eficaz de projetos exige a definição clara do escopo, a estimativa realista de esforços, o monitoramento constante do progresso e a mitigação de riscos que possam comprometer a entrega do produto.</w:t>
      </w:r>
    </w:p>
    <w:p w14:paraId="13F9F86A">
      <w:pPr>
        <w:spacing w:before="240" w:beforeAutospacing="0" w:after="240" w:afterAutospacing="0" w:line="360" w:lineRule="auto"/>
        <w:ind w:firstLine="960" w:firstLineChars="40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Além disso, Schwalbe (2020) destaca que, em um ambiente de rápidas mudanças tecnológicas, o gerente de projetos precisa adotar abordagens flexíveis e iterativas, como as metodologias ágeis, para lidar com a incerteza e promover entregas contínuas de valor ao cliente. Assim, a gestão de projetos de software representa não apenas uma dimensão técnica, mas também estratégica, pois influencia diretamente a qualidade, o custo e a sustentabilidade dos produtos desenvolvidos.</w:t>
      </w:r>
    </w:p>
    <w:p w14:paraId="233FEC3A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sz w:val="24"/>
          <w:szCs w:val="24"/>
          <w:lang w:val="pt-BR"/>
        </w:rPr>
        <w:t xml:space="preserve">Gestão da Qualidade </w:t>
      </w:r>
    </w:p>
    <w:p w14:paraId="55BF09C5">
      <w:pPr>
        <w:spacing w:before="240" w:beforeAutospacing="0" w:after="240" w:afterAutospacing="0" w:line="360" w:lineRule="auto"/>
        <w:ind w:firstLine="840" w:firstLineChars="35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A gestão da qualidade é um conjunto de práticas e princípios voltados para assegurar que produtos, serviços e processos atendam consistentemente aos requisitos e expectativas dos clientes. Segundo Paladini (2019), a gestão da qualidade envolve o planejamento, o controle e a melhoria contínua dos processos organizacionais, buscando eficiência e satisfação do consumidor. Já Juran e Godfrey (1999) destacam que a qualidade não deve ser vista apenas como a ausência de defeitos, mas como o resultado de um esforço sistemático de gestão que permeia todas as etapas da produção e do relacionamento com o cliente.</w:t>
      </w:r>
    </w:p>
    <w:p w14:paraId="5A879BCF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Nesse sentido, conforme Carvalho e Paladini (2012), a gestão da qualidade moderna vai além da inspeção e controle, incorporando metodologias como o ciclo PDCA, a certificação ISO 9001 e a cultura de melhoria contínua. Assim, ela se torna um diferencial competitivo essencial, pois contribui para a redução de custos, o aumento da produtividade e o fortalecimento da imagem organizacional no mercado.</w:t>
      </w:r>
    </w:p>
    <w:p w14:paraId="0C945BF5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sz w:val="24"/>
          <w:szCs w:val="24"/>
          <w:lang w:val="pt-BR"/>
        </w:rPr>
        <w:t>Gestão Estratégica De Recursos Humanos</w:t>
      </w:r>
    </w:p>
    <w:p w14:paraId="7C300AF8">
      <w:pPr>
        <w:spacing w:before="240" w:beforeAutospacing="0" w:after="240" w:afterAutospacing="0" w:line="360" w:lineRule="auto"/>
        <w:ind w:firstLine="840" w:firstLineChars="35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A gestão estratégica de recursos humanos consiste em alinhar as práticas de gestão de pessoas aos objetivos e à estratégia organizacional, de forma a potencializar o desempenho e a competitividade da empresa. Segundo Chiavenato (2014), a gestão de pessoas evoluiu de uma função meramente operacional, voltada ao controle e à administração de pessoal, para um papel estratégico que busca desenvolver talentos, promover o engajamento e contribuir para os resultados organizacionais.</w:t>
      </w:r>
    </w:p>
    <w:p w14:paraId="655BE16C">
      <w:pPr>
        <w:spacing w:before="240" w:beforeAutospacing="0" w:after="240" w:afterAutospacing="0" w:line="360" w:lineRule="auto"/>
        <w:ind w:firstLine="1080" w:firstLineChars="45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Ulrich (1998) complementa que a atuação estratégica dos recursos humanos envolve integrar suas políticas de recrutamento, treinamento, avaliação e recompensas à estratégia de negócios, tornando o capital humano um diferencial competitivo sustentável. Já Gil (2019) enfatiza que a gestão estratégica de pessoas deve considerar o ambiente dinâmico e globalizado, no qual a inovação, a flexibilidade e a aprendizagem contínua são essenciais para o sucesso das organizações. Assim, a área de recursos humanos deixa de ser apenas um suporte administrativo e passa a ser um agente transformador e orientado ao futuro.</w:t>
      </w:r>
    </w:p>
    <w:p w14:paraId="7C00DDD2">
      <w:pPr>
        <w:spacing w:line="360" w:lineRule="auto"/>
        <w:jc w:val="both"/>
        <w:rPr>
          <w:rFonts w:ascii="Arial" w:hAnsi="Arial" w:eastAsia="Arial" w:cs="Arial"/>
          <w:b/>
          <w:bCs/>
          <w:sz w:val="24"/>
          <w:szCs w:val="24"/>
          <w:lang w:val="pt-BR"/>
        </w:rPr>
      </w:pPr>
    </w:p>
    <w:p w14:paraId="684BC88B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sz w:val="24"/>
          <w:szCs w:val="24"/>
          <w:lang w:val="pt-BR"/>
        </w:rPr>
        <w:t>Língua de Sinais- Libra</w:t>
      </w:r>
    </w:p>
    <w:p w14:paraId="5287ECF9">
      <w:pPr>
        <w:spacing w:before="240" w:beforeAutospacing="0" w:after="240" w:afterAutospacing="0" w:line="360" w:lineRule="auto"/>
        <w:ind w:firstLine="960" w:firstLineChars="40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 Brasil, conforme Lacerda (2010) a Língua Brasileira de Sinais (Libras) é a forma essencial de comunicação entre surdos, contando com uma organização linguística singular, formada por elementos visuais e espaciais que a estabelecem como idioma autêntico, e não meros gestos. Conforme Quadros e Karnopp (2004), a Libras demonstra níveis fonológicos, morfológicos, sintáticos e semânticos, sendo tão rica e complexa quanto qualquer língua falada. Strobel (2008) destaca que a Lei nº 10.436/2002, que reconheceu a Libras, foi um momento crucial para afirmar a identidade surda e impulsionar a inclusão social e educacional da comunidade.</w:t>
      </w:r>
      <w:r>
        <w:br w:type="textWrapping"/>
      </w:r>
      <w:r>
        <w:br w:type="textWrapping"/>
      </w:r>
      <w:r>
        <w:rPr>
          <w:rFonts w:hint="default"/>
          <w:lang w:val="pt-BR"/>
        </w:rPr>
        <w:t xml:space="preserve">   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Ademais, segundo Lacerda (2010), saber Libras é vital para assegurar que surdos acessem informação, educação e direitos de cidadania, sendo crucial que educadores e outros profissionais desenvolvam habilidade comunicativa nessa língua. Assim, a Libras transcende a mera ferramenta de comunicação, representando uma manifestação cultural e uma validação da rica diversidade linguística existente no Brasil.</w:t>
      </w:r>
    </w:p>
    <w:p w14:paraId="11422927">
      <w:pPr>
        <w:spacing w:before="240" w:beforeAutospacing="0" w:after="240" w:afterAutospacing="0" w:line="360" w:lineRule="auto"/>
        <w:ind w:firstLine="960" w:firstLineChars="40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</w:p>
    <w:p w14:paraId="09FD9DE5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Marketing Pessoal </w:t>
      </w:r>
    </w:p>
    <w:p w14:paraId="167BA8C3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O marketing pessoal abrange um leque de táticas que visam realçar a imagem e a reputação de alguém tanto no âmbito profissional quanto social. Na visão de Kotler e Keller (2018), ele emprega as bases do marketing comum, só que direcionadas ao gerenciamento da própria marca, à criação de confiança e ao destaque no mercado de trabalho. Para eles, a maneira como um profissional se expressa, age e demonstra seus princípios impacta diretamente a forma como é visto e, por extensão, suas chances de progredir.</w:t>
      </w:r>
    </w:p>
    <w:p w14:paraId="5ED10ED9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Já Cobra (2010) vê o marketing pessoal como uma jornada constante de se conhecer, planejar e promover suas qualidades, com o objetivo de firmar uma imagem boa e alinhada aos seus propósitos de carreira. Lages (2015) ressalta que, em um cenário empresarial bastante acirrado, o marketing pessoal se torna uma ferramenta valiosa de exposição, permitindo que o indivíduo sobressaia por meio de sua conduta ética, capacidade de se relacionar e excelência no trabalho. Assim, o marketing pessoal transcende a simples autopromoção: é um meio de administrar a carreira que une valores, comportamentos e laços para atingir o êxito e a satisfação individual.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Programação Orientada a Objetos </w:t>
      </w:r>
    </w:p>
    <w:p w14:paraId="7B692C45">
      <w:pPr>
        <w:spacing w:before="240" w:beforeAutospacing="0" w:after="240" w:afterAutospacing="0"/>
        <w:ind w:firstLine="480" w:firstLineChars="20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Orientação a Objetos Segundo DEITEL (2016) (OO) é uma forma de criar programas que organiza o código em "objetos". Cada objeto representa algo do mundo real, com suas características e ações. Para DEITEL e BOOCH (2016), essa maneira de programar visa facilitar o reaproveitamento do código, dividir o programa em partes menores e simplificar a manutenção, organizando o software em classes que agrupam dados e funções. BOOCH (2007) ressalta que a OO se apoia em quatro princípios básicos: abstração, encapsulamento, herança e polimorfismo, permitindo criar sistemas mais adaptáveis, que podem crescer e que se alinham melhor ao problema que precisam resolver.</w:t>
      </w:r>
    </w:p>
    <w:p w14:paraId="273F66CB">
      <w:pPr>
        <w:spacing w:before="240" w:beforeAutospacing="0" w:after="240" w:afterAutospacing="0"/>
        <w:ind w:firstLine="480" w:firstLineChars="200"/>
        <w:jc w:val="both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br w:type="textWrapping"/>
      </w:r>
      <w:r>
        <w:rPr>
          <w:rFonts w:hint="default"/>
          <w:lang w:val="pt-BR"/>
        </w:rPr>
        <w:t xml:space="preserve">     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Sommerville (2019) afirma que usar a OO ajuda a aumentar a produção e a qualidade do software, porque facilita o entendimento do código, a colaboração entre os desenvolvedores e a atualização constante dos sistemas. Portanto, a Orientação a Objetos não é só um jeito de escrever código, mas uma maneira de pensar o desenvolvimento que une ideias de design, análise e arquitetura de software para criar soluções mais eficazes e duradouras.</w:t>
      </w:r>
      <w:r>
        <w:br w:type="textWrapping"/>
      </w:r>
    </w:p>
    <w:p w14:paraId="70005B0B">
      <w:pPr>
        <w:spacing w:before="240" w:beforeAutospacing="0" w:after="240" w:afterAutospacing="0"/>
        <w:jc w:val="both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Projeto de Sistema Orientado a Objetos</w:t>
      </w:r>
    </w:p>
    <w:p w14:paraId="3FEABF90">
      <w:pPr>
        <w:spacing w:before="240" w:beforeAutospacing="0" w:after="240" w:afterAutospacing="0"/>
        <w:ind w:firstLine="600" w:firstLineChars="2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 desenvolvimento de software, uma fase crucial é o planejamento de sistemas que seguem a orientação a objetos. Essa etapa busca criar um modelo bem estruturado do sistema, empregando classes e objetos para simbolizar os elementos e ações dentro do contexto do problema. Booch (2007) explica que a programação orientada a objetos organiza o software em partes conectadas, incentivando a reutilização de código, o isolamento de informações e a organização em módulos, o que simplifica tanto a manutenção quanto o aprimoramento do sistema. Pressman (2016) adiciona que essa forma de abordar o desenvolvimento possibilita aos programadores construir estruturas mais adaptáveis, que espelham fielmente as necessidades do sistema, sejam elas de funcionalidade ou de desempenho, além de melhorar o diálogo entre os membros da equipe por meio de representações gráficas.</w:t>
      </w:r>
    </w:p>
    <w:p w14:paraId="3A99B07F">
      <w:pPr>
        <w:spacing w:before="240" w:beforeAutospacing="0" w:after="240" w:afterAutospacing="0"/>
        <w:ind w:firstLine="1320" w:firstLineChars="55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hint="default"/>
          <w:lang w:val="pt-BR"/>
        </w:rPr>
        <w:t xml:space="preserve">  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Sommerville (2019) enfatiza que, ao planejar um sistema orientado a objetos, é indispensável definir com clareza as funções de cada classe, as ligações entre os objetos e os modelos de projeto que serão usados, assegurando que o sistema possa crescer, seja eficaz e atenda às expectativas do usuário. Assim, o planejamento de sistemas orientados a objetos transcende a mera técnica, configurando-se como uma tática que une a avaliação, o projeto e a arquitetura do software.</w:t>
      </w:r>
      <w:r>
        <w:br w:type="textWrapping"/>
      </w:r>
    </w:p>
    <w:p w14:paraId="32230533">
      <w:pPr>
        <w:spacing w:before="240" w:beforeAutospacing="0" w:after="240" w:afterAutospacing="0"/>
        <w:jc w:val="both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Relações Étnico-raciais e Afrodescendência</w:t>
      </w:r>
    </w:p>
    <w:p w14:paraId="24D7054C">
      <w:pPr>
        <w:spacing w:before="240" w:beforeAutospacing="0" w:after="240" w:afterAutospacing="0"/>
        <w:ind w:firstLine="960" w:firstLineChars="40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As relações étnico-raciais no Brasil refletem uma história marcada por desigualdades estruturais e por processos de exclusão social, especialmente em relação à população afrodescendente. Segundo Gomes (2018), a afrodescendência envolve não apenas a origem africana, mas também a preservação de práticas culturais, identidade e resistências construídas ao longo da história da diáspora africana. Cabral (2019) enfatiza que a valorização da afrodescendência e a promoção da igualdade racial exigem políticas públicas, inclusão educacional e ações afirmativas que combatam preconceitos e desigualdades históricas.</w:t>
      </w:r>
    </w:p>
    <w:p w14:paraId="75E94669">
      <w:pPr>
        <w:spacing w:before="240" w:beforeAutospacing="0" w:after="240" w:afterAutospacing="0"/>
        <w:ind w:firstLine="1200" w:firstLineChars="50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Além disso, Silva (2015) destaca que o reconhecimento da diversidade étnico-racial contribui para a construção de uma sociedade mais justa e plural, ao integrar perspectivas culturais afro-brasileiras em espaços educacionais, políticos e sociais. Assim, as relações étnico-raciais não se limitam à dimensão identitária, mas permeiam aspectos sociais, econômicos e culturais, sendo essenciais para a promoção da cidadania plena e do combate ao racismo estrutural no país.</w:t>
      </w:r>
    </w:p>
    <w:p w14:paraId="4F30C4BF">
      <w:pPr>
        <w:spacing w:before="240" w:beforeAutospacing="0" w:after="240" w:afterAutospacing="0"/>
        <w:ind w:firstLine="960" w:firstLineChars="40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Programação Orientada a Objetos Segundo Pressman (2016) (POO) vai muito além das noções fundamentais como classes, objetos, encapsulamento, herança e polimorfismo, abrangendo temas mais aprofundados que possibilitam criar sistemas intrincados e de alto desempenho. Conforme Booch (2007) aponta, certos temas se sobressaem, a exemplo dos padrões de design – Singleton, Factory e Observer –, que incentivam a reutilização, a organização em módulos e a simplificação da manutenção do programa. Pressman (2016) também sublinha a relevância de práticas sofisticadas de modelagem UML, foco em componentes e integração de frameworks, que ajudam na representação gráfica do sistema e na uniformização do desenvolvimento.</w:t>
      </w:r>
      <w:r>
        <w:br w:type="textWrapping"/>
      </w:r>
      <w:r>
        <w:br w:type="textWrapping"/>
      </w:r>
      <w:r>
        <w:rPr>
          <w:rFonts w:hint="default"/>
          <w:lang w:val="pt-BR"/>
        </w:rPr>
        <w:t xml:space="preserve">       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Sommerville (2019) destaca que outros assuntos merecem atenção, como a programação genérica, o tratamento de erros, o emprego de interfaces e classes abstratas, além das técnicas de armazenamento de objetos e programação simultânea, que aumentam a adaptabilidade e a capacidade de expansão dos sistemas orientados a objetos. Assim, ter domínio sobre esses temas especializados é fundamental para que os desenvolvedores de software consigam idealizar soluções sólidas, eficazes e alinhadas com as necessidades complexas das empresas.</w:t>
      </w:r>
      <w:r>
        <w:br w:type="textWrapping"/>
      </w:r>
    </w:p>
    <w:p w14:paraId="64FB905F">
      <w:pPr>
        <w:spacing w:before="240" w:beforeAutospacing="0" w:after="240" w:afterAutospacing="0"/>
        <w:ind w:firstLine="960" w:firstLineChars="40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  <w:r>
        <w:br w:type="textWrapping"/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Referências</w:t>
      </w:r>
      <w:r>
        <w:br w:type="textWrapping"/>
      </w:r>
      <w:r>
        <w:br w:type="textWrapping"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BOOCH, Grady. Análise e projeto orientados a objetos com aplicações. 3. ed. Boston: Addison-Wesley, 2007.</w:t>
      </w:r>
    </w:p>
    <w:p w14:paraId="7CC9341D">
      <w:pPr>
        <w:spacing w:before="240" w:beforeAutospacing="0" w:after="240" w:afterAutospacing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BRASIL. Lei nº 10.436, de 24 de abril de 2002. Dispõe sobre a Língua Brasileira de Sinais – Libras e dá outras providências. Diário Oficial da União, Brasília, DF, 25 abr. 2002.</w:t>
      </w:r>
    </w:p>
    <w:p w14:paraId="4A1164AD">
      <w:pPr>
        <w:spacing w:before="240" w:beforeAutospacing="0" w:after="240" w:afterAutospacing="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CABRAL, Djamila Ribeiro.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O que é lugar de fala?</w:t>
      </w:r>
      <w:r>
        <w:rPr>
          <w:rFonts w:ascii="Arial" w:hAnsi="Arial" w:eastAsia="Arial" w:cs="Arial"/>
          <w:sz w:val="24"/>
          <w:szCs w:val="24"/>
          <w:lang w:val="pt-BR"/>
        </w:rPr>
        <w:t>. São Paulo: Letramento, 2019.</w:t>
      </w:r>
    </w:p>
    <w:p w14:paraId="26D017EC">
      <w:pPr>
        <w:spacing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CARVALHO, Marly Monteiro de; PALADINI, Edson Pacheco.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Gestão da qualidade: teoria e casos</w:t>
      </w:r>
      <w:r>
        <w:rPr>
          <w:rFonts w:ascii="Arial" w:hAnsi="Arial" w:eastAsia="Arial" w:cs="Arial"/>
          <w:sz w:val="24"/>
          <w:szCs w:val="24"/>
          <w:lang w:val="pt-BR"/>
        </w:rPr>
        <w:t>. 2. ed. Rio de Janeiro: Elsevier, 2012.</w:t>
      </w:r>
    </w:p>
    <w:p w14:paraId="1E9943B1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CHIAVENATO, Idalberto.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Gestão de pessoas: o novo papel dos recursos humanos nas organizações</w:t>
      </w:r>
      <w:r>
        <w:rPr>
          <w:rFonts w:ascii="Arial" w:hAnsi="Arial" w:eastAsia="Arial" w:cs="Arial"/>
          <w:sz w:val="24"/>
          <w:szCs w:val="24"/>
          <w:lang w:val="pt-BR"/>
        </w:rPr>
        <w:t>. 4. ed. Rio de Janeiro: Elsevier, 2014.</w:t>
      </w:r>
    </w:p>
    <w:p w14:paraId="3F5539B5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COBRA, Marcos. Marketing pessoal e empregabilidade. 6. ed. São Paulo: Saraiva, 2010.</w:t>
      </w:r>
    </w:p>
    <w:p w14:paraId="035FE8F5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DATE, C. J. Introdução a sistemas de banco dados. 8 ed. Rio de Janeiro: Elsevier,  2004.</w:t>
      </w:r>
    </w:p>
    <w:p w14:paraId="412BB4E7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DEITEL, Paul; DEITEL, Harvey. Java: como programar. 10. ed. São Paulo: Pearson, 2016.</w:t>
      </w:r>
    </w:p>
    <w:p w14:paraId="5F522751">
      <w:pPr>
        <w:spacing w:before="240" w:beforeAutospacing="0" w:after="240" w:afterAutospacing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DORNELAS, José Carlos Assis. Empreendedorismo: transformando ideias em negócios. 6 Ed.Rio de Janeiro: Empreende/LTC,2018.</w:t>
      </w:r>
    </w:p>
    <w:p w14:paraId="52AB8857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GIL, Antonio Carlos.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Gestão de pessoas: enfoque nos papéis profissionais</w:t>
      </w:r>
      <w:r>
        <w:rPr>
          <w:rFonts w:ascii="Arial" w:hAnsi="Arial" w:eastAsia="Arial" w:cs="Arial"/>
          <w:sz w:val="24"/>
          <w:szCs w:val="24"/>
          <w:lang w:val="pt-BR"/>
        </w:rPr>
        <w:t>. 3. ed. São Paulo: Atlas, 2019.</w:t>
      </w:r>
    </w:p>
    <w:p w14:paraId="3502AD01">
      <w:pPr>
        <w:spacing w:before="240" w:beforeAutospacing="0" w:after="240" w:afterAutospacing="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GOMES, Nilma Lino.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Ações afirmativas e políticas de igualdade racial no Brasil</w:t>
      </w:r>
      <w:r>
        <w:rPr>
          <w:rFonts w:ascii="Arial" w:hAnsi="Arial" w:eastAsia="Arial" w:cs="Arial"/>
          <w:sz w:val="24"/>
          <w:szCs w:val="24"/>
          <w:lang w:val="pt-BR"/>
        </w:rPr>
        <w:t>. Brasília: MEC/SEPPIR, 2018.</w:t>
      </w:r>
    </w:p>
    <w:p w14:paraId="49FD230D">
      <w:pPr>
        <w:spacing w:before="240" w:beforeAutospacing="0" w:after="240" w:afterAutospacing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Grady. Análise e projeto orientados a objetos com aplicações. 3. ed. Boston: Addison-Wesley, 2007.</w:t>
      </w:r>
    </w:p>
    <w:p w14:paraId="7892AAAF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JURAN, J. M.; GODFREY, A. Blanton.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Juran’s quality handbook</w:t>
      </w:r>
      <w:r>
        <w:rPr>
          <w:rFonts w:ascii="Arial" w:hAnsi="Arial" w:eastAsia="Arial" w:cs="Arial"/>
          <w:sz w:val="24"/>
          <w:szCs w:val="24"/>
          <w:lang w:val="pt-BR"/>
        </w:rPr>
        <w:t>. 5. ed. New York: McGraw-Hill, 1999.</w:t>
      </w:r>
    </w:p>
    <w:p w14:paraId="5158E04B">
      <w:pPr>
        <w:spacing w:before="240" w:beforeAutospacing="0" w:after="240" w:afterAutospacing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KOTLER, Philip; KELLER, Kevin Lane. Administração de marketing. 15. ed. São Paulo: Pearson, 2018.</w:t>
      </w:r>
    </w:p>
    <w:p w14:paraId="6DD58B07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LACERDA, Cristina Broglia Feitosa de. A inclusão escolar de alunos surdos: o que dizem alunos, professores e intérpretes sobre esta experiência. 2. ed. São Paulo: Plexus, </w:t>
      </w:r>
    </w:p>
    <w:p w14:paraId="76BF646D">
      <w:pPr>
        <w:spacing w:before="240" w:beforeAutospacing="0" w:after="240" w:afterAutospacing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LAGES, Mário. Marketing pessoal: sua imagem é o seu sucesso. 4. ed. Rio de Janeiro: Qualitymark, 2015.</w:t>
      </w:r>
    </w:p>
    <w:p w14:paraId="7CFEDE1A">
      <w:pPr>
        <w:spacing w:before="240" w:beforeAutospacing="0" w:after="240" w:afterAutospacing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OOCH, GRADY; BOOCH, Análise e projeto orientados a objetos com aplicações. 3. ed. Boston: Addison-Wesley, 2007.</w:t>
      </w:r>
    </w:p>
    <w:p w14:paraId="3124DAEA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PALADINI, Edson Pacheco.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Gestão da qualidade: teoria e prática</w:t>
      </w:r>
      <w:r>
        <w:rPr>
          <w:rFonts w:ascii="Arial" w:hAnsi="Arial" w:eastAsia="Arial" w:cs="Arial"/>
          <w:sz w:val="24"/>
          <w:szCs w:val="24"/>
          <w:lang w:val="pt-BR"/>
        </w:rPr>
        <w:t>. 4. ed. São Paulo: Atlas, 2019.</w:t>
      </w:r>
    </w:p>
    <w:p w14:paraId="2F84859A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br w:type="textWrapping"/>
      </w:r>
      <w:r>
        <w:rPr>
          <w:rFonts w:ascii="Arial" w:hAnsi="Arial" w:eastAsia="Arial" w:cs="Arial"/>
          <w:sz w:val="24"/>
          <w:szCs w:val="24"/>
          <w:lang w:val="pt-BR"/>
        </w:rPr>
        <w:t xml:space="preserve">PFLEEGER, Shari Lawrence; ATLEE, Joanne M.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Engenharia de software: teoria e prática</w:t>
      </w:r>
      <w:r>
        <w:rPr>
          <w:rFonts w:ascii="Arial" w:hAnsi="Arial" w:eastAsia="Arial" w:cs="Arial"/>
          <w:sz w:val="24"/>
          <w:szCs w:val="24"/>
          <w:lang w:val="pt-BR"/>
        </w:rPr>
        <w:t>. 4. ed. São Paulo: Pearson Addison Wesley, 2010.</w:t>
      </w:r>
      <w:r>
        <w:br w:type="textWrapping"/>
      </w:r>
      <w:r>
        <w:br w:type="textWrapping"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PRESSMAN, Roger S. Engenharia de software: uma abordagem profissional. 8. ed. Porto Alegre: AMGH, 2016.</w:t>
      </w:r>
    </w:p>
    <w:p w14:paraId="0D524D90">
      <w:pPr>
        <w:spacing w:before="240" w:beforeAutospacing="0" w:after="240" w:afterAutospacing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QUADROS, Ronice Müller de; KARNOPP, Lodenir Becker. Língua de sinais brasileira: estudos linguísticos. Porto Alegre: Artmed, 2004.</w:t>
      </w:r>
      <w:r>
        <w:br w:type="textWrapping"/>
      </w:r>
    </w:p>
    <w:p w14:paraId="3954F4ED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SCHWALBE, Kathy.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Gerenciamento de projetos de tecnologia da informação</w:t>
      </w:r>
      <w:r>
        <w:rPr>
          <w:rFonts w:ascii="Arial" w:hAnsi="Arial" w:eastAsia="Arial" w:cs="Arial"/>
          <w:sz w:val="24"/>
          <w:szCs w:val="24"/>
          <w:lang w:val="pt-BR"/>
        </w:rPr>
        <w:t>. 9. ed. São Paulo: Cengage Learning, 2020.</w:t>
      </w:r>
    </w:p>
    <w:p w14:paraId="519BFAF2">
      <w:pPr>
        <w:spacing w:before="240" w:beforeAutospacing="0" w:after="240" w:afterAutospacing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SILVA, Denise.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Raça, identidade e políticas públicas: reflexões sobre a afrodescendência no Brasil</w:t>
      </w:r>
      <w:r>
        <w:rPr>
          <w:rFonts w:ascii="Arial" w:hAnsi="Arial" w:eastAsia="Arial" w:cs="Arial"/>
          <w:sz w:val="24"/>
          <w:szCs w:val="24"/>
          <w:lang w:val="pt-BR"/>
        </w:rPr>
        <w:t>. Rio de Janeiro: PUC-Rio, 2015.</w:t>
      </w:r>
      <w:r>
        <w:br w:type="textWrapping"/>
      </w:r>
      <w:r>
        <w:br w:type="textWrapping"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SOMMERVILLE, Ian. Engenharia de software. 10. ed. São Paulo: Pearson, 2019.</w:t>
      </w:r>
    </w:p>
    <w:p w14:paraId="28C695CA">
      <w:pPr>
        <w:spacing w:before="240" w:beforeAutospacing="0" w:after="240" w:afterAutospacing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STROBEL, Karin Lilian. As imagens do outro sobre a cultura surda. Florianópolis: UFSC, 2008.</w:t>
      </w:r>
      <w:r>
        <w:br w:type="textWrapping"/>
      </w:r>
    </w:p>
    <w:p w14:paraId="08F628FE">
      <w:pPr>
        <w:spacing w:before="240" w:beforeAutospacing="0" w:after="240" w:afterAutospacing="0"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 xml:space="preserve">ULRICH, Dave. </w:t>
      </w:r>
      <w:r>
        <w:rPr>
          <w:rFonts w:ascii="Arial" w:hAnsi="Arial" w:eastAsia="Arial" w:cs="Arial"/>
          <w:i/>
          <w:iCs/>
          <w:sz w:val="24"/>
          <w:szCs w:val="24"/>
          <w:lang w:val="pt-BR"/>
        </w:rPr>
        <w:t>Human resource champions: the next agenda for adding value and delivering results</w:t>
      </w:r>
      <w:r>
        <w:rPr>
          <w:rFonts w:ascii="Arial" w:hAnsi="Arial" w:eastAsia="Arial" w:cs="Arial"/>
          <w:sz w:val="24"/>
          <w:szCs w:val="24"/>
          <w:lang w:val="pt-BR"/>
        </w:rPr>
        <w:t>. Boston: Harvard Business School Press, 1998.</w:t>
      </w:r>
    </w:p>
    <w:p w14:paraId="7AFAC98F">
      <w:pPr>
        <w:spacing w:before="240" w:beforeAutospacing="0" w:after="240" w:afterAutospacing="0" w:line="360" w:lineRule="auto"/>
        <w:jc w:val="both"/>
      </w:pPr>
      <w:r>
        <w:br w:type="textWrapping"/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D95E2"/>
    <w:rsid w:val="00373B5C"/>
    <w:rsid w:val="01048DCF"/>
    <w:rsid w:val="012DB6DC"/>
    <w:rsid w:val="02024374"/>
    <w:rsid w:val="02030EE7"/>
    <w:rsid w:val="02E7BFB4"/>
    <w:rsid w:val="035A90DA"/>
    <w:rsid w:val="03AEDBD1"/>
    <w:rsid w:val="0427AA31"/>
    <w:rsid w:val="0526D0B3"/>
    <w:rsid w:val="059CE430"/>
    <w:rsid w:val="0632225C"/>
    <w:rsid w:val="077211C3"/>
    <w:rsid w:val="077E9BF4"/>
    <w:rsid w:val="088BCBDE"/>
    <w:rsid w:val="08CFF74B"/>
    <w:rsid w:val="090A9C56"/>
    <w:rsid w:val="090EDABC"/>
    <w:rsid w:val="09333E9B"/>
    <w:rsid w:val="09624003"/>
    <w:rsid w:val="09DC004A"/>
    <w:rsid w:val="0A85ED9A"/>
    <w:rsid w:val="0B11282D"/>
    <w:rsid w:val="0CE3058A"/>
    <w:rsid w:val="0DE447FB"/>
    <w:rsid w:val="0E0C21F8"/>
    <w:rsid w:val="0E403854"/>
    <w:rsid w:val="0E64C0FC"/>
    <w:rsid w:val="0E7FC386"/>
    <w:rsid w:val="101C3C7E"/>
    <w:rsid w:val="107B57C6"/>
    <w:rsid w:val="10D6C8FD"/>
    <w:rsid w:val="1156AA3B"/>
    <w:rsid w:val="11679583"/>
    <w:rsid w:val="11A31254"/>
    <w:rsid w:val="11C2DA90"/>
    <w:rsid w:val="125003CF"/>
    <w:rsid w:val="12D6CBB2"/>
    <w:rsid w:val="137AF16A"/>
    <w:rsid w:val="139F3D06"/>
    <w:rsid w:val="13A723DC"/>
    <w:rsid w:val="14216B22"/>
    <w:rsid w:val="158B7C61"/>
    <w:rsid w:val="164F9785"/>
    <w:rsid w:val="16B5B22C"/>
    <w:rsid w:val="16C4FE09"/>
    <w:rsid w:val="172CC96F"/>
    <w:rsid w:val="18481333"/>
    <w:rsid w:val="18A30402"/>
    <w:rsid w:val="18FFC2D4"/>
    <w:rsid w:val="1AD6195D"/>
    <w:rsid w:val="1B277BA2"/>
    <w:rsid w:val="1B45F241"/>
    <w:rsid w:val="1C165721"/>
    <w:rsid w:val="1C849296"/>
    <w:rsid w:val="1C8BE242"/>
    <w:rsid w:val="1D0A2CC3"/>
    <w:rsid w:val="1D0D3703"/>
    <w:rsid w:val="1D3C3FEE"/>
    <w:rsid w:val="1D47D5A4"/>
    <w:rsid w:val="1D6E6DF6"/>
    <w:rsid w:val="1E31CB82"/>
    <w:rsid w:val="1E998C5A"/>
    <w:rsid w:val="1E9F5249"/>
    <w:rsid w:val="1F665E3E"/>
    <w:rsid w:val="214CED7F"/>
    <w:rsid w:val="2183FED3"/>
    <w:rsid w:val="22BD95E2"/>
    <w:rsid w:val="22BEFF02"/>
    <w:rsid w:val="23445305"/>
    <w:rsid w:val="24EA4A31"/>
    <w:rsid w:val="25302B43"/>
    <w:rsid w:val="25625986"/>
    <w:rsid w:val="26195F2F"/>
    <w:rsid w:val="2687A0B7"/>
    <w:rsid w:val="270E1B38"/>
    <w:rsid w:val="283B84BA"/>
    <w:rsid w:val="287CD6D4"/>
    <w:rsid w:val="2908AC5E"/>
    <w:rsid w:val="2A3C471C"/>
    <w:rsid w:val="2A58E691"/>
    <w:rsid w:val="2A775EFB"/>
    <w:rsid w:val="2A8165EB"/>
    <w:rsid w:val="2B392633"/>
    <w:rsid w:val="2B42400B"/>
    <w:rsid w:val="2B8B82B4"/>
    <w:rsid w:val="2BC35A2C"/>
    <w:rsid w:val="2C5F59E8"/>
    <w:rsid w:val="2DF02A6B"/>
    <w:rsid w:val="2E3D6D49"/>
    <w:rsid w:val="2FB32CCE"/>
    <w:rsid w:val="31EF82DF"/>
    <w:rsid w:val="31F00518"/>
    <w:rsid w:val="3432F019"/>
    <w:rsid w:val="3481B546"/>
    <w:rsid w:val="34EBADCF"/>
    <w:rsid w:val="35130945"/>
    <w:rsid w:val="3593DE6D"/>
    <w:rsid w:val="3697DD7B"/>
    <w:rsid w:val="37457FE2"/>
    <w:rsid w:val="37F01481"/>
    <w:rsid w:val="387E7AF8"/>
    <w:rsid w:val="38CFC18F"/>
    <w:rsid w:val="38E13BA9"/>
    <w:rsid w:val="39043BE7"/>
    <w:rsid w:val="397C1BF6"/>
    <w:rsid w:val="39B84D9B"/>
    <w:rsid w:val="39E0F6C7"/>
    <w:rsid w:val="3B58B381"/>
    <w:rsid w:val="3B86BE07"/>
    <w:rsid w:val="3BC4A9BD"/>
    <w:rsid w:val="3BD8C7C0"/>
    <w:rsid w:val="3CB7624C"/>
    <w:rsid w:val="3CC6EAF9"/>
    <w:rsid w:val="3D3446EA"/>
    <w:rsid w:val="3D687D55"/>
    <w:rsid w:val="3E09DAAE"/>
    <w:rsid w:val="3E135DEA"/>
    <w:rsid w:val="3E9160EC"/>
    <w:rsid w:val="3F061058"/>
    <w:rsid w:val="3F434286"/>
    <w:rsid w:val="40063717"/>
    <w:rsid w:val="40C920F5"/>
    <w:rsid w:val="40D13BE6"/>
    <w:rsid w:val="40E60F29"/>
    <w:rsid w:val="418878E0"/>
    <w:rsid w:val="42505AC9"/>
    <w:rsid w:val="4294A845"/>
    <w:rsid w:val="4394DD35"/>
    <w:rsid w:val="468803DE"/>
    <w:rsid w:val="46A8CD0D"/>
    <w:rsid w:val="46AAA3ED"/>
    <w:rsid w:val="46B2F09D"/>
    <w:rsid w:val="46D277F3"/>
    <w:rsid w:val="46DBE716"/>
    <w:rsid w:val="471BC0C5"/>
    <w:rsid w:val="48145C5F"/>
    <w:rsid w:val="48E57C31"/>
    <w:rsid w:val="49577D98"/>
    <w:rsid w:val="4AA3A119"/>
    <w:rsid w:val="4B0125B7"/>
    <w:rsid w:val="4B50661E"/>
    <w:rsid w:val="4C05A30D"/>
    <w:rsid w:val="4CFC7501"/>
    <w:rsid w:val="4DA64FE2"/>
    <w:rsid w:val="4E1DBEBE"/>
    <w:rsid w:val="4E80F987"/>
    <w:rsid w:val="4F724E59"/>
    <w:rsid w:val="4FBCEF37"/>
    <w:rsid w:val="4FC05167"/>
    <w:rsid w:val="4FCCCAD8"/>
    <w:rsid w:val="501D6BC0"/>
    <w:rsid w:val="5090C267"/>
    <w:rsid w:val="5127A16F"/>
    <w:rsid w:val="51DDF323"/>
    <w:rsid w:val="51EA956F"/>
    <w:rsid w:val="523E04CB"/>
    <w:rsid w:val="53A686C0"/>
    <w:rsid w:val="551438C4"/>
    <w:rsid w:val="56DE1968"/>
    <w:rsid w:val="5730E1F6"/>
    <w:rsid w:val="581324DF"/>
    <w:rsid w:val="5898C478"/>
    <w:rsid w:val="58A7BFB6"/>
    <w:rsid w:val="58CBF29E"/>
    <w:rsid w:val="593D5E97"/>
    <w:rsid w:val="594763E6"/>
    <w:rsid w:val="5970FE51"/>
    <w:rsid w:val="59C5955D"/>
    <w:rsid w:val="59CBDDC8"/>
    <w:rsid w:val="59FA3938"/>
    <w:rsid w:val="5A54104C"/>
    <w:rsid w:val="5A777A83"/>
    <w:rsid w:val="5A9FF9E5"/>
    <w:rsid w:val="5B4FDC2E"/>
    <w:rsid w:val="5BC7A7C1"/>
    <w:rsid w:val="5DB4BA02"/>
    <w:rsid w:val="5DBF25F1"/>
    <w:rsid w:val="5E472023"/>
    <w:rsid w:val="5E7DBFD8"/>
    <w:rsid w:val="5FCD0BF9"/>
    <w:rsid w:val="5FD06F2D"/>
    <w:rsid w:val="5FE5BB20"/>
    <w:rsid w:val="602A58D0"/>
    <w:rsid w:val="602E141A"/>
    <w:rsid w:val="606DE566"/>
    <w:rsid w:val="6147B4E5"/>
    <w:rsid w:val="61A599ED"/>
    <w:rsid w:val="621AF3B6"/>
    <w:rsid w:val="628FEB65"/>
    <w:rsid w:val="62989038"/>
    <w:rsid w:val="62E38B23"/>
    <w:rsid w:val="633D4680"/>
    <w:rsid w:val="63578436"/>
    <w:rsid w:val="63681FCC"/>
    <w:rsid w:val="641D9D72"/>
    <w:rsid w:val="64CF6AAA"/>
    <w:rsid w:val="64DDFA23"/>
    <w:rsid w:val="64F37262"/>
    <w:rsid w:val="650EADCD"/>
    <w:rsid w:val="65CCFF8F"/>
    <w:rsid w:val="6637CAAA"/>
    <w:rsid w:val="666B80CD"/>
    <w:rsid w:val="67767A78"/>
    <w:rsid w:val="6776DC00"/>
    <w:rsid w:val="67C984A9"/>
    <w:rsid w:val="6976A14F"/>
    <w:rsid w:val="6ADE843A"/>
    <w:rsid w:val="6ADF6EB2"/>
    <w:rsid w:val="6AE44F5B"/>
    <w:rsid w:val="6AF033A8"/>
    <w:rsid w:val="6B026F67"/>
    <w:rsid w:val="6CA94952"/>
    <w:rsid w:val="6CB52432"/>
    <w:rsid w:val="6DE0D435"/>
    <w:rsid w:val="6DFD82F6"/>
    <w:rsid w:val="6ECA8C62"/>
    <w:rsid w:val="6F47A0CD"/>
    <w:rsid w:val="6F876645"/>
    <w:rsid w:val="6F9AEC30"/>
    <w:rsid w:val="6FBDFBED"/>
    <w:rsid w:val="708664E8"/>
    <w:rsid w:val="70EC0F39"/>
    <w:rsid w:val="7180250B"/>
    <w:rsid w:val="720A83D1"/>
    <w:rsid w:val="723B6F11"/>
    <w:rsid w:val="74219952"/>
    <w:rsid w:val="74235790"/>
    <w:rsid w:val="7588AF86"/>
    <w:rsid w:val="75F178C1"/>
    <w:rsid w:val="760F4918"/>
    <w:rsid w:val="766989BF"/>
    <w:rsid w:val="768DC349"/>
    <w:rsid w:val="76937EBC"/>
    <w:rsid w:val="76F6C388"/>
    <w:rsid w:val="770CE9FB"/>
    <w:rsid w:val="77594C5B"/>
    <w:rsid w:val="779DCB5D"/>
    <w:rsid w:val="77AAA691"/>
    <w:rsid w:val="79A6928B"/>
    <w:rsid w:val="7B8CC447"/>
    <w:rsid w:val="7BEFC38E"/>
    <w:rsid w:val="7D99CA23"/>
    <w:rsid w:val="7DD20506"/>
    <w:rsid w:val="7E6E5A92"/>
    <w:rsid w:val="7FB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pt-BR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Ascii" w:hAnsiTheme="majorAscii" w:eastAsiaTheme="majorEastAsia" w:cstheme="majorBidi"/>
      <w:color w:val="156082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56082" w:themeColor="accent1" w:themeTint="FF"/>
      <w:sz w:val="28"/>
      <w:szCs w:val="28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TotalTime>127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2025-10-09T14:24:00Z</dcterms:created>
  <dc:creator>VITOR TAKAASI</dc:creator>
  <cp:lastModifiedBy>Cleide Takaasi</cp:lastModifiedBy>
  <dcterms:modified xsi:type="dcterms:W3CDTF">2025-10-13T01:44:54Z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4FEA494F6E104655BFA5B29062ACA289_13</vt:lpwstr>
  </property>
</Properties>
</file>