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12529"/>
          <w:sz w:val="24"/>
          <w:szCs w:val="24"/>
          <w:lang w:val="pt-BR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12529"/>
          <w:sz w:val="24"/>
          <w:szCs w:val="24"/>
          <w:lang w:val="pt-BR"/>
        </w:rPr>
        <w:t xml:space="preserve">       O Projeto Integrador Multidisciplinar (PIM) constitui-se como uma proposta acadêmica que visa integrar os conhecimentos adquiridos ao longo das disciplinas do curso, aplicando-os de forma prática e articulada na resolução de problemas reais. A interdisciplinaridade, nesse contexto, possibilita a construção de projetos sólidos, inovadores e socialmente responsáveis. No caso de uma empresa voltada à área de Recursos Humanos (RH), a articulação entre as disciplinas permite compreender como a tecnologia, a gestão e a diversidade podem caminhar juntas, promovendo um ambiente organizacional eficiente e inclusivo. Assim, a seguir, apresenta-se como cada disciplina contribui para o desenvolvimento deste PIM e para a consolidação do RH pautada na inovação, na ética e na valorização humana. A proposta estimula o desenvolvimento de competências técnicas, gerenciais e humanas, permitindo a aplicação dos conhecimentos adquiridos em um contexto profissional real.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212529"/>
          <w:sz w:val="24"/>
          <w:szCs w:val="24"/>
          <w:lang w:val="pt-BR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212529"/>
          <w:sz w:val="24"/>
          <w:szCs w:val="24"/>
          <w:lang w:val="pt-BR"/>
        </w:rPr>
        <w:t>Banco de dados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12529"/>
          <w:sz w:val="24"/>
          <w:szCs w:val="24"/>
          <w:lang w:val="pt-BR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12529"/>
          <w:sz w:val="24"/>
          <w:szCs w:val="24"/>
          <w:lang w:val="pt-BR"/>
        </w:rPr>
        <w:t xml:space="preserve">        Para Date (2004), 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smallCaps w:val="0"/>
          <w:color w:val="212529"/>
          <w:sz w:val="24"/>
          <w:szCs w:val="24"/>
          <w:lang w:val="pt-BR"/>
        </w:rPr>
        <w:t>“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12529"/>
          <w:sz w:val="24"/>
          <w:szCs w:val="24"/>
          <w:lang w:val="pt-BR"/>
        </w:rPr>
        <w:t>um banco de dados é um conjunto organizado de informações que podem ser acessadas e manipuladas de forma eficiente por meio de um sistema gerenciador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smallCaps w:val="0"/>
          <w:color w:val="212529"/>
          <w:sz w:val="24"/>
          <w:szCs w:val="24"/>
          <w:lang w:val="pt-BR"/>
        </w:rPr>
        <w:t>”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12529"/>
          <w:sz w:val="24"/>
          <w:szCs w:val="24"/>
          <w:lang w:val="pt-BR"/>
        </w:rPr>
        <w:t xml:space="preserve">. 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12529"/>
          <w:sz w:val="24"/>
          <w:szCs w:val="24"/>
          <w:lang w:val="pt-BR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12529"/>
          <w:sz w:val="24"/>
          <w:szCs w:val="24"/>
          <w:lang w:val="pt-BR"/>
        </w:rPr>
        <w:t xml:space="preserve">         Esta disciplina de Banco de Dados é essencial para a organização, armazenamento e manipulação das informações de uma empresa de RH. Por meio destes sistemas gerenciadores (SGBDs), torna-se possível estruturar cadastros de funcionários, históricos profissionais, avaliações de desempenho e registros de treinamentos.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212529"/>
          <w:sz w:val="24"/>
          <w:szCs w:val="24"/>
          <w:lang w:val="pt-BR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212529"/>
          <w:sz w:val="24"/>
          <w:szCs w:val="24"/>
          <w:lang w:val="pt-BR"/>
        </w:rPr>
        <w:t xml:space="preserve">Desenvolvimento de Software 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     O desenvolvimento de software é uma abordagem sistemática para transformar requisitos em um produto de software funcional. De acordo com Pressman 2016, 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“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o processo de desenvolvimento de software inclui atividades interdependentes, como levantamento de requisitos, design, codificação, testes e manutenção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”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. Juntos, o objetivo de todas essas fases é garantir a qualidade e a confiabilidade do sistema final. A disciplina de Desenvolvimento de Software fornece as bases práticas e conceituais necessárias para criar soluções tecnológicas que atendam às demandas empresariais. Aplicada ao contexto do RH, ela permite desenvolver sistemas de recrutamento, controle de ponto, gestão de benefícios e avaliação de desempenho. No PIM, essa disciplina viabiliza a materialização das ideias por meio da codificação e da implementação de sistemas funcionais.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/>
          <w:bCs/>
          <w:sz w:val="24"/>
          <w:szCs w:val="24"/>
          <w:lang w:val="pt-BR"/>
        </w:rPr>
      </w:pPr>
      <w:r>
        <w:rPr>
          <w:rFonts w:ascii="Arial" w:hAnsi="Arial" w:eastAsia="Arial" w:cs="Arial"/>
          <w:b/>
          <w:bCs/>
          <w:sz w:val="24"/>
          <w:szCs w:val="24"/>
          <w:lang w:val="pt-BR"/>
        </w:rPr>
        <w:t xml:space="preserve">Empreendedorismo 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 O empreendedorismo, segundo Dornelas(2018), portanto, pode ser classificado como um processo dinâmico de criação de valor, no qual os indivíduos veem oportunidades e mobilizam recursos para criar novos produtos, serviços ou empresas. Para Dornelas, o empreendedor é o agente que faz com que algo seja feito e não fique só na teoria, ou seja, assume riscos calculados constantemente inovando para gerar benefícios, econômicos e outros. Ademais, Hisrich, Peters e Shepherd apontam que o empreendedorismo não se limita à criação de empresas, podendo ser inserido em uma empresa existente, capacidade essa chamada de entepreneurship. Com efeito, o ciclo de vida do comportamento empreendedor é essencial para o crescimento econômico e a sustentabilidade e competitividade em um ambiente de inovação e mudanças radicais.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 A disciplina de Empreendedorismo possibilita compreender o funcionamento do mercado e o papel da inovação no ambiente corporativo. Segundo Dornelas (2018, p. 45), “empreender é identificar oportunidades e transformá-las em negócios lucrativos e sustentáveis, com inovação e responsabilidade social”.</w:t>
      </w:r>
    </w:p>
    <w:p>
      <w:pPr>
        <w:spacing w:before="240" w:beforeAutospacing="0" w:after="240" w:afterAutospacing="0" w:line="360" w:lineRule="auto"/>
        <w:jc w:val="both"/>
        <w:rPr>
          <w:rFonts w:hint="default"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Assim, no PIM, o empreendedorismo orienta a elaboração do plano de negócios</w:t>
      </w:r>
      <w:r>
        <w:rPr>
          <w:rFonts w:hint="default" w:ascii="Arial" w:hAnsi="Arial" w:cs="Arial"/>
        </w:rPr>
        <w:t>, a análise de me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rcado e a estruturação do modelo de gestão da empresa simulada de RH, garantindo sua viabilidade econômica e diferencial competitivo.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Engenharia de Software 1 e 2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</w:t>
      </w:r>
      <w:r>
        <w:rPr>
          <w:rFonts w:ascii="Arial" w:hAnsi="Arial" w:eastAsia="Arial" w:cs="Arial"/>
          <w:b w:val="0"/>
          <w:bCs w:val="0"/>
          <w:i w:val="0"/>
          <w:iC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disciplina de Engenharia de Software I trata dos princípios, métodos e práticas usadas para fundamentar o desenvolvimento estruturado de sistemas computacionais. Segundo Pressman, a engenharia de software  tem como finalidade, aplicar abordagens sistemáticas, disciplinadas e quantificáveis ao esforço de desenvolvimento, operação e manutenção do software, com o objetivo de aumentar a qualidade e minimizar custos. De acordo com Sommerville, o processo de engenharia de software envolve atividades essenciais como requisitos de software, projeto de software, codificação, verificação de software e validação software. Em consequência disso, Engenharia de Software I é importante para criar a moldura necessária em conhecimento e prática que é necessária para desenvolver sistemas com base no método eficaz.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 Segundo Pressman (2016) a Engenharia de Software tem por objetivo aprofundar conceitos e técnicas já abordadas, destacando a qualidade, a manutenção e o gerenciamento de projetos de software. Além disso, Pressman (2016) chama atenção para o fato de que, a manutenção de software é o estágio mais caro no ciclo de vida de sistema que exigirá técnicas apropriadas de documentação e controle de versões para garantir que a evolução do produto seja sustentável. Em vista disso, a disciplina de Engenharia de Software II apresenta ferramentas e não-metodologias para que os profissionais possam trabalhar com equipes, prazos e recursos de forma ótima e manter equilíbrio entre inovação e confiança. </w:t>
      </w:r>
    </w:p>
    <w:p>
      <w:pPr>
        <w:spacing w:before="240" w:beforeAutospacing="0" w:after="240" w:afterAutospacing="0" w:line="360" w:lineRule="auto"/>
        <w:ind w:firstLine="266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As disciplinas de Engenharia de Software I e II estruturam o processo de desenvolvimento de sistemas de forma organizada e confiável. Sommerville (2019, p. 8) define que “engenharia de software é uma disciplina da engenharia que se ocupa de todos os aspectos da produção de software, desde as fases iniciais até a manutenção”.</w:t>
      </w:r>
    </w:p>
    <w:p>
      <w:pPr>
        <w:spacing w:before="240" w:beforeAutospacing="0" w:after="240" w:afterAutospacing="0" w:line="360" w:lineRule="auto"/>
        <w:ind w:firstLine="266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Assegurar a qualidade de um software uma atividade que se inicia por planejamento e termina com métricas e práticas de testes que garantam o atendimento dos requisitos especificados.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/>
          <w:bCs/>
          <w:sz w:val="24"/>
          <w:szCs w:val="24"/>
          <w:lang w:val="pt-BR"/>
        </w:rPr>
      </w:pPr>
      <w:r>
        <w:rPr>
          <w:rFonts w:ascii="Arial" w:hAnsi="Arial" w:eastAsia="Arial" w:cs="Arial"/>
          <w:b/>
          <w:bCs/>
          <w:sz w:val="24"/>
          <w:szCs w:val="24"/>
          <w:lang w:val="pt-BR"/>
        </w:rPr>
        <w:t xml:space="preserve">Gestão de Projeto De Software 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/>
          <w:sz w:val="24"/>
          <w:szCs w:val="24"/>
          <w:lang w:val="pt-BR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   A gestão de projetos de software é um processo vital para garantir que o desenvolvimento de sistemas ocorra conforme o planejado, de maneira eficiente e esteja alinhado aos objetivos da organização. De acordo com Pressman (2016), o gerenciamento de projetos de software refere-se à aplicação de conhecimento, habilidades e ferramentas para coordenar pessoas, recursos e atividades visando metas específicas em termos de tempo, prazo e orçamento. Sommerville ainda complementa que uma gestão de projetos eficaz é baseada numa definição clara de escopo, estimativa realista de esforço, monitoramento do progresso e mitigação de riscos para garantir que a entrega do produto ocorra. Além disso, Schwalbe destaca que, em um cenário de mudanças rápidas em tecnologia, um gestor de projetos de software precisa adotar abordagens flexíveis e iterativas, como as metodologias ágeis, para lidar com a incerteza e assegurar entregas contínuas de valor ao cliente. Portanto, a gestão de projetos de software é uma dimensão não apenas técnica, mas também estratégica, uma vez que afeta diretamente a qualidade, a custo e s banabilidade dos produtos desenvolvidos.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          A gestão de projetos de software é um processo essencial para garantir que o desenvolvimento de sistemas ocorra de forma planejada, eficiente e alinhada aos objetivos organizacionais. Segundo Pressman (2016), o gerenciamento de projetos de software envolve a aplicação de conhecimentos, habilidades e ferramentas para coordenar pessoas, recursos e atividades com o intuito de alcançar metas específicas dentro de prazos e orçamentos definidos. Sommerville (2019) complementa que a gestão eficaz de projetos exige a definição clara do escopo, a estimativa realista de esforços, o monitoramento constante do progresso e a mitigação de riscos que possam comprometer a entrega do produto.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         Além disso, Schwalbe (2020) destaca que, em um ambiente de rápidas mudanças tecnológicas, o gerente de projetos precisa adotar abordagens flexíveis e iterativas, como as metodologias ágeis, para lidar com a incerteza e promover entregas contínuas de valor ao cliente. Assim, a gestão de projetos de software representa não apenas uma dimensão técnica, mas também estratégica, pois influencia diretamente a qualidade, o custo e a sustentabilidade dos produtos desenvolvidos.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/>
          <w:bCs/>
          <w:sz w:val="24"/>
          <w:szCs w:val="24"/>
          <w:lang w:val="pt-BR"/>
        </w:rPr>
      </w:pPr>
      <w:r>
        <w:rPr>
          <w:rFonts w:ascii="Arial" w:hAnsi="Arial" w:eastAsia="Arial" w:cs="Arial"/>
          <w:b/>
          <w:bCs/>
          <w:sz w:val="24"/>
          <w:szCs w:val="24"/>
          <w:lang w:val="pt-BR"/>
        </w:rPr>
        <w:t xml:space="preserve">Gestão da Qualidade 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        A gestão da qualidade é um conjunto de práticas e princípios voltados para assegurar que produtos, serviços e processos atendam consistentemente aos requisitos e expectativas dos clientes. Segundo Paladini (2019), a gestão da qualidade envolve o planejamento, o controle e a melhoria contínua dos processos organizacionais, buscando eficiência e satisfação do consumidor. Já Juran e Godfrey (1999) destacam que a qualidade não deve ser vista apenas como a ausência de defeitos, mas como o resultado de um esforço sistemático de gestão que permeia todas as etapas da produção e do relacionamento com o cliente.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         Nesse sentido, conforme Carvalho e Paladini (2012), a gestão da qualidade moderna vai além da inspeção e controle, incorporando metodologias como o ciclo PDCA, a certificação ISO 9001 e a cultura de melhoria contínua. Assim, ela se torna um diferencial competitivo essencial, pois contribui para a redução de custos, o aumento da produtividade e o fortalecimento da imagem organizacional no mercado.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         No PIM, essa disciplina contribui para o controle de prazos, a distribuição de tarefas e o acompanhamento das entregas, promovendo o trabalho em equipe e a eficiência do processo.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/>
          <w:bCs/>
          <w:sz w:val="24"/>
          <w:szCs w:val="24"/>
          <w:lang w:val="pt-BR"/>
        </w:rPr>
      </w:pPr>
      <w:r>
        <w:rPr>
          <w:rFonts w:ascii="Arial" w:hAnsi="Arial" w:eastAsia="Arial" w:cs="Arial"/>
          <w:b/>
          <w:bCs/>
          <w:sz w:val="24"/>
          <w:szCs w:val="24"/>
          <w:lang w:val="pt-BR"/>
        </w:rPr>
        <w:t>Gestão Estratégica De Recursos Humanos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        A gestão estratégica de recursos humanos consiste em alinhar as práticas de gestão de pessoas aos objetivos e à estratégia organizacional, de forma a potencializar o desempenho e a competitividade da empresa. Segundo Chiavenato (2014), a gestão de pessoas evoluiu de uma função meramente operacional, voltada ao controle e à administração de pessoal, para um papel estratégico que busca desenvolver talentos, promover o engajamento e contribuir para os resultados organizacionais. A gestão de pessoas é um dos pilares do ambiente corporativo. Chiavenato (2020, p. 32) destaca que “a gestão de pessoas é o conjunto de políticas e práticas que conduzem o comportamento humano e a performance organizacional”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        Ulrich (1998) complementa que a atuação estratégica dos recursos humanos envolve integrar suas políticas de recrutamento, treinamento, avaliação e recompensas à estratégia de negócios, tornando o capital humano um diferencial competitivo sustentável. Já Gil (2019) enfatiza que a gestão estratégica de pessoas deve considerar o ambiente dinâmico e globalizado, no qual a inovação, a flexibilidade e a aprendizagem contínua são essenciais para o sucesso das organizações. Assim, a área de recursos humanos deixa de ser apenas um suporte administrativo e passa a ser um agente transformador e orientado ao futuro.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       No contexto do PIM, essa disciplina fundamenta as políticas de valorização, capacitação e motivação dos colaboradores, ressaltando a importância da liderança e do clima organizacional saudável.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Marketing Pessoal </w:t>
      </w:r>
    </w:p>
    <w:p>
      <w:pPr>
        <w:spacing w:before="240" w:beforeAutospacing="0" w:after="240" w:afterAutospacing="0" w:line="360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O marketing pessoal abrange um leque de táticas que visam realçar a imagem e a reputação de alguém tanto no âmbito profissional quanto social. Na visão de Kotler e Keller (2018), ele emprega as bases do marketing comum, só que direcionadas ao gerenciamento da própria marca, à criação de confiança e ao destaque no mercado de trabalho. Para eles, a maneira como um profissional se expressa, age e demonstra seus princípios impacta diretamente a forma como é visto e, por extensão, suas chances de progredir.</w:t>
      </w:r>
      <w:r>
        <w:br w:type="textWrapping"/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Já Cobra (2010) vê o marketing pessoal como uma jornada constante de se conhecer, planejar e promover suas qualidades, com o objetivo de firmar uma imagem boa e alinhada aos seus propósitos de carreira. Lages (2015) ressalta que, em um cenário empresarial bastante acirrado, o marketing pessoal se torna uma ferramenta valiosa de exposição, permitindo que o indivíduo sobressaia por meio de sua conduta ética, capacidade de se relacionar e excelência no trabalho. Assim, o marketing pessoal transcende a simples autopromoção: é um meio de administrar a carreira que une valores, comportamentos e laços para atingir o êxito e a satisfação individual.</w:t>
      </w:r>
    </w:p>
    <w:p>
      <w:pPr>
        <w:spacing w:before="240" w:beforeAutospacing="0" w:after="240" w:afterAutospacing="0"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</w:rPr>
        <w:t>O marketing pessoal está relacionado à construção da imagem profissional e à capacidade de comunicação estratégica. Kotler e Keller (2018, p. 31) afirmam que “o marketing é a arte e a ciência de conquistar e manter clientes, criando valor para ambas as partes”.</w:t>
      </w:r>
      <w:r>
        <w:rPr>
          <w:rFonts w:hint="default" w:ascii="Arial" w:hAnsi="Arial" w:cs="Arial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>A disciplina de Marketing Pessoal contribui para o desenvolvimento da imagem e da postura profissional dos integrantes do projeto. No PIM, ela auxilia na elaboração da identidade visual da empresa, na comunicação com o público e na apresentação do projeto com clareza e credibilidade. Além disso, reforça competências interpessoais e de autoconhecimento, fundamentais no contexto corporativo.</w:t>
      </w:r>
    </w:p>
    <w:p>
      <w:pPr>
        <w:spacing w:before="240" w:beforeAutospacing="0" w:after="240" w:afterAutospacing="0" w:line="360" w:lineRule="auto"/>
        <w:jc w:val="both"/>
        <w:rPr>
          <w:rFonts w:hint="default" w:ascii="Arial" w:hAnsi="Arial" w:cs="Arial"/>
        </w:rPr>
      </w:pPr>
    </w:p>
    <w:p>
      <w:pPr>
        <w:spacing w:before="240" w:beforeAutospacing="0" w:after="240" w:afterAutospacing="0" w:line="360" w:lineRule="auto"/>
        <w:jc w:val="both"/>
        <w:rPr>
          <w:rFonts w:hint="default"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Programação Orientada a Objetos </w:t>
      </w:r>
    </w:p>
    <w:p>
      <w:pPr>
        <w:spacing w:before="240" w:beforeAutospacing="0" w:after="240" w:afterAutospacing="0" w:line="360" w:lineRule="auto"/>
        <w:ind w:firstLine="266"/>
        <w:jc w:val="both"/>
        <w:rPr>
          <w:rFonts w:hint="default" w:ascii="Arial" w:hAnsi="Arial" w:cs="Arial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  Programação em Orientação a Objetos, para DEITEL (2016) OO é uma forma de criar programas que organiza o código em "objetos". Cada objeto representa algo do mundo real, com suas características e ações. Para Deitl;Booch (2016), essa maneira de programar visa facilitar o reaproveitamento do código, dividir o programa em partes menores e simplificar a manutenção, organizando o software em classes que agrupam dados e funções. Booch (2007) ressalta que a OO se apoia em quatro princípios básicos: abstração, encapsulamento, herança e polimorfismo, permitindo criar sistemas mais adaptáveis, que podem crescer e que se alinham melhor ao problema que precisam resolver.</w:t>
      </w:r>
      <w:r>
        <w:br w:type="textWrapping"/>
      </w:r>
      <w:r>
        <w:rPr>
          <w:lang w:val="pt-BR"/>
        </w:rPr>
        <w:t xml:space="preserve">   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Sommerville (2019) afirma que usar a OO ajuda a aumentar a produção e a qualidade do software, porque facilita o entendimento do código, a colaboração entre os desenvolvedores e a atualização constante dos sistemas. Portanto, a Orientação a Objetos não é só um jeito de escrever código, mas uma maneira de pensar o desenvolvimento que une ideias de design, análise e arquitetura de software para criar soluções mais eficazes e duradouras.</w:t>
      </w:r>
    </w:p>
    <w:p>
      <w:pPr>
        <w:spacing w:before="240" w:beforeAutospacing="0" w:after="240" w:afterAutospacing="0" w:line="360" w:lineRule="auto"/>
        <w:ind w:firstLine="266"/>
        <w:jc w:val="both"/>
        <w:rPr>
          <w:rFonts w:hint="default" w:ascii="Arial" w:hAnsi="Arial" w:cs="Arial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 Programação Orientada a Objetos Segundo Pressman (2016) (POO) vai muito além das noções fundamentais como classes, objetos, encapsulamento, herança e polimorfismo, abrangendo temas mais aprofundados que possibilitam criar sistemas intrincados e de alto desempenho. Conforme Booch (2007) aponta, certos temas se sobressaem, a exemplo dos padrões de design – Singleton, Factory e Observer –, que incentivam a reutilização, a organização em módulos e a simplificação da manutenção do programa. Pressman (2016) também sublinha a relevância de práticas sofisticadas de modelagem UML, foco em componentes e integração de frameworks, que ajudam na representação gráfica do sistema e na uniformização do desenvolvimento. Sommerville (2019) destaca que outros assuntos merecem atenção, como a programação genérica, o tratamento de erros, o emprego de interfaces e classes abstratas, além das técnicas de armazenamento de objetos e programação simultânea, que aumentam a adaptabilidade e a capacidade de expansão dos sistemas orientados a objetos. Assim, ter domínio sobre esses temas especializados é fundamental para que os desenvolvedores de software consigam idealizar soluções sólidas, eficazes e alinhadas com as necessidades complexas das empresas.</w:t>
      </w:r>
      <w:r>
        <w:br w:type="textWrapping"/>
      </w:r>
      <w:r>
        <w:rPr>
          <w:lang w:val="pt-BR"/>
        </w:rPr>
        <w:t xml:space="preserve">    </w:t>
      </w:r>
      <w:r>
        <w:rPr>
          <w:rFonts w:hint="default" w:ascii="Arial" w:hAnsi="Arial" w:cs="Arial"/>
        </w:rPr>
        <w:t>A Programação Orientada a Objetos (POO) é uma metodologia que favorece o desenvolvimento modular e a reutilização de código. Deitel e Deitel (2017, p. 65) explicam que “a programação orientada a objetos permite organizar o software em torno de objetos que representam entidades do mundo real”</w:t>
      </w:r>
      <w:r>
        <w:rPr>
          <w:rFonts w:hint="default" w:ascii="Arial" w:hAnsi="Arial" w:cs="Arial"/>
          <w:lang w:val="pt-BR"/>
        </w:rPr>
        <w:t>.</w:t>
      </w:r>
    </w:p>
    <w:p>
      <w:pPr>
        <w:spacing w:before="240" w:beforeAutospacing="0" w:after="240" w:afterAutospacing="0" w:line="360" w:lineRule="auto"/>
        <w:ind w:firstLine="266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 xml:space="preserve">    </w:t>
      </w:r>
      <w:r>
        <w:rPr>
          <w:rFonts w:hint="default" w:ascii="Arial" w:hAnsi="Arial" w:cs="Arial"/>
        </w:rPr>
        <w:t>No PIM, essa disciplina é aplicada no desenvolvimento técnico do sistema de RH, garantindo flexibilidade e manutenção eficiente.</w:t>
      </w:r>
    </w:p>
    <w:p>
      <w:pPr>
        <w:spacing w:before="240" w:beforeAutospacing="0" w:after="240" w:afterAutospacing="0"/>
        <w:jc w:val="both"/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Projeto de Sistema Orientado a Objetos</w:t>
      </w:r>
    </w:p>
    <w:p>
      <w:pPr>
        <w:spacing w:before="240" w:beforeAutospacing="0" w:after="240" w:afterAutospacing="0" w:line="360" w:lineRule="auto"/>
        <w:jc w:val="both"/>
        <w:rPr>
          <w:rFonts w:hint="default" w:ascii="Arial" w:hAnsi="Arial" w:cs="Arial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No desenvolvimento de software, uma fase crucial é o planejamento de sistemas que seguem a orientação a objetos. Essa etapa busca criar um modelo bem estruturado do sistema, empregando classes e objetos para simbolizar os elementos e ações dentro do contexto do problema. Booch (2007) explica que a programação orientada a objetos organiza o software em partes conectadas, incentivando a reutilização de código, o isolamento de informações e a organização em módulos, o que simplifica tanto a manutenção quanto o aprimoramento do sistema. Pressman (2016) adiciona que essa forma de abordar o desenvolvimento possibilita aos programadores construir estruturas mais adaptáveis, que espelham fielmente as necessidades do sistema, sejam elas de funcionalidade ou de desempenho, além de melhorar o diálogo entre os membros da equipe por meio de representações gráficas. Sommerville (2019) enfatiza que, ao planejar um sistema orientado a objetos, é indispensável definir com clareza as funções de cada classe, as ligações entre os objetos e os modelos de projeto que serão usados, assegurando que o sistema possa crescer, seja eficaz e atenda às expectativas do usuário. Assim, o planejamento de sistemas orientados a objetos transcende a mera técnica, configurando-se como uma tática que une a avaliação, o projeto e a arquitetura do software.</w:t>
      </w:r>
      <w:r>
        <w:br w:type="textWrapping"/>
      </w:r>
      <w:r>
        <w:rPr>
          <w:lang w:val="pt-BR"/>
        </w:rPr>
        <w:t xml:space="preserve">    </w:t>
      </w:r>
      <w:r>
        <w:rPr>
          <w:rFonts w:hint="default" w:ascii="Arial" w:hAnsi="Arial" w:cs="Arial"/>
        </w:rPr>
        <w:t>A disciplina de Projeto de Sistemas tem papel integrador, unindo os conhecimentos técnicos e teóricos na concepção de uma solução completa. Nela são definidos os requisitos, a arquitetura do sistema, os fluxos de informação e os métodos de validação. No PIM, sua aplicação assegura a coerência entre o planejamento e a execução do projeto, promovendo uma integração efetiva entre tecnologia e gestão</w:t>
      </w:r>
      <w:r>
        <w:rPr>
          <w:rFonts w:hint="default" w:ascii="Arial" w:hAnsi="Arial" w:cs="Arial"/>
          <w:lang w:val="pt-BR"/>
        </w:rPr>
        <w:t>,</w:t>
      </w:r>
      <w:r>
        <w:rPr>
          <w:rFonts w:hint="default" w:ascii="Arial" w:hAnsi="Arial" w:cs="Arial"/>
        </w:rPr>
        <w:t xml:space="preserve"> permit</w:t>
      </w:r>
      <w:r>
        <w:rPr>
          <w:rFonts w:hint="default" w:ascii="Arial" w:hAnsi="Arial" w:cs="Arial"/>
          <w:lang w:val="pt-BR"/>
        </w:rPr>
        <w:t>indo</w:t>
      </w:r>
      <w:r>
        <w:rPr>
          <w:rFonts w:hint="default" w:ascii="Arial" w:hAnsi="Arial" w:cs="Arial"/>
        </w:rPr>
        <w:t xml:space="preserve"> a implementação do sistema de RH, garantindo eficiência e coerência entre os módulos e funcionalidades.</w:t>
      </w:r>
    </w:p>
    <w:p>
      <w:pPr>
        <w:spacing w:before="240" w:beforeAutospacing="0" w:after="240" w:afterAutospacing="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Tópicos Especiais em Programação Orientada a Objetos</w:t>
      </w:r>
    </w:p>
    <w:p>
      <w:pPr>
        <w:spacing w:before="240" w:beforeAutospacing="0" w:after="240" w:afterAutospacing="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lang w:val="pt-BR"/>
        </w:rPr>
        <w:t xml:space="preserve">        </w:t>
      </w:r>
      <w:r>
        <w:rPr>
          <w:rFonts w:hint="default" w:ascii="Arial" w:hAnsi="Arial" w:cs="Arial"/>
        </w:rPr>
        <w:t>De acordo com Sommerville (2019, p. 410), “a adaptação constante às novas tecnologias é uma das principais características da engenharia de software moderna”. Esse princípio é essencial, pois o campo da programação orientada a objetos está em constante evolução, incorporando conceitos como programação funcional, arquiteturas baseadas em microsserviços, APIs RESTful e integração contínua.</w:t>
      </w:r>
      <w:r>
        <w:rPr>
          <w:rFonts w:hint="default" w:ascii="Arial" w:hAnsi="Arial" w:cs="Arial"/>
          <w:lang w:val="pt-BR"/>
        </w:rPr>
        <w:t xml:space="preserve"> </w:t>
      </w:r>
      <w:r>
        <w:rPr>
          <w:rFonts w:hint="default" w:ascii="Arial" w:hAnsi="Arial" w:cs="Arial"/>
        </w:rPr>
        <w:t>Essa disciplina promove o contato com novas tecnologias e frameworks. Para Sommerville (2019, p. 410), “a adaptação constante às novas tecnologias é uma das principais características da engenharia de software moderna”.</w:t>
      </w:r>
    </w:p>
    <w:p>
      <w:pPr>
        <w:spacing w:before="240" w:beforeAutospacing="0" w:after="240" w:afterAutospacing="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 w:val="0"/>
          <w:bCs w:val="0"/>
          <w:lang w:val="pt-BR"/>
        </w:rPr>
        <w:t xml:space="preserve">       Os </w:t>
      </w:r>
      <w:r>
        <w:rPr>
          <w:rFonts w:hint="default" w:ascii="Arial" w:hAnsi="Arial" w:cs="Arial"/>
          <w:b w:val="0"/>
          <w:bCs w:val="0"/>
        </w:rPr>
        <w:t>Tópicos Especiais em Programação Orientada a Objetos (POO) amplia a</w:t>
      </w:r>
      <w:r>
        <w:rPr>
          <w:rFonts w:hint="default" w:ascii="Arial" w:hAnsi="Arial" w:cs="Arial"/>
          <w:b w:val="0"/>
          <w:bCs w:val="0"/>
          <w:lang w:val="pt-BR"/>
        </w:rPr>
        <w:t>o</w:t>
      </w:r>
      <w:r>
        <w:rPr>
          <w:rFonts w:hint="default" w:ascii="Arial" w:hAnsi="Arial" w:cs="Arial"/>
          <w:b w:val="0"/>
          <w:bCs w:val="0"/>
        </w:rPr>
        <w:t xml:space="preserve"> abordar</w:t>
      </w:r>
      <w:r>
        <w:rPr>
          <w:rFonts w:hint="default" w:ascii="Arial" w:hAnsi="Arial" w:cs="Arial"/>
          <w:b w:val="0"/>
          <w:bCs w:val="0"/>
          <w:lang w:val="pt-BR"/>
        </w:rPr>
        <w:t>mos</w:t>
      </w:r>
      <w:r>
        <w:rPr>
          <w:rFonts w:hint="default" w:ascii="Arial" w:hAnsi="Arial" w:cs="Arial"/>
          <w:b w:val="0"/>
          <w:bCs w:val="0"/>
        </w:rPr>
        <w:t xml:space="preserve"> tecnologias, frameworks e metodologias avançadas aplicadas ao desenvolvimento de sistemas. Essa área do conhecimento busca explorar tendências emergentes, permitindo ao futuro profissional compreender e implementar soluções mais eficientes, seguras e alinhadas às demandas do mercado contemporâneo.</w:t>
      </w:r>
    </w:p>
    <w:p>
      <w:pPr>
        <w:spacing w:before="240" w:beforeAutospacing="0" w:after="240" w:afterAutospacing="0" w:line="360" w:lineRule="auto"/>
        <w:jc w:val="both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 xml:space="preserve">      </w:t>
      </w:r>
      <w:r>
        <w:rPr>
          <w:rFonts w:hint="default" w:ascii="Arial" w:hAnsi="Arial" w:cs="Arial"/>
        </w:rPr>
        <w:t>No PIM, o estudo de tópicos avançados amplia a visão sobre integração de sistemas, uso de APIs e inovação tecnológica, o que torna a solução mais moderna e competitiva.</w:t>
      </w:r>
      <w:r>
        <w:rPr>
          <w:rFonts w:hint="default" w:ascii="Arial" w:hAnsi="Arial" w:cs="Arial"/>
          <w:lang w:val="pt-BR"/>
        </w:rPr>
        <w:t xml:space="preserve"> </w:t>
      </w:r>
      <w:r>
        <w:rPr>
          <w:rFonts w:hint="default" w:ascii="Arial" w:hAnsi="Arial" w:cs="Arial"/>
        </w:rPr>
        <w:t xml:space="preserve"> Sua aplicação</w:t>
      </w:r>
      <w:r>
        <w:rPr>
          <w:rFonts w:hint="default" w:ascii="Arial" w:hAnsi="Arial" w:cs="Arial"/>
          <w:lang w:val="pt-BR"/>
        </w:rPr>
        <w:t xml:space="preserve"> </w:t>
      </w:r>
      <w:r>
        <w:rPr>
          <w:rFonts w:hint="default" w:ascii="Arial" w:hAnsi="Arial" w:cs="Arial"/>
        </w:rPr>
        <w:t>possibilita a adoção de recursos inovadores no sistema de RH, como dashboards interativos, autenticação de usuários e integração com APIs. Assim, o projeto torna-se mais atualizado e alinhado às tendências do mercado de tecnologia.</w:t>
      </w:r>
    </w:p>
    <w:p>
      <w:pPr>
        <w:spacing w:before="240" w:beforeAutospacing="0" w:after="240" w:afterAutospacing="0"/>
        <w:jc w:val="both"/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Relações Étnico-raciais e Afrodescendência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     As relações étnico-raciais no Brasil refletem uma história marcada por desigualdades estruturais e por processos de exclusão social, especialmente em relação à população afrodescendente. Segundo Gomes (2018), a afrodescendência envolve não apenas a origem africana, mas também a preservação de práticas culturais, identidade e resistências construídas ao longo da história da diáspora africana. Cabral (2019) enfatiza que a valorização da afrodescendência e a promoção da igualdade racial exigem políticas públicas, inclusão educacional e ações afirmativas que combatam preconceitos e desigualdades históricas.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       Além disso, Silva (2015) destaca que o reconhecimento da diversidade étnico-racial contribui para a construção de uma sociedade mais justa e plural, ao integrar perspectivas culturais afro-brasileiras em espaços educacionais, políticos e sociais. Assim, as relações étnico-raciais não se limitam à dimensão identitária, mas permeiam aspectos sociais, econômicos e culturais, sendo essenciais para a promoção da cidadania plena e do combate ao racismo estrutural no país.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      Munanga (2019, p. 27) afirma que “a valorização da diversidade é condição fundamental para o exercício pleno da cidadania e para a construção de uma sociedade democrática”. Assim, a disciplina de</w:t>
      </w:r>
      <w:r>
        <w:rPr>
          <w:rFonts w:hint="default" w:ascii="Arial" w:hAnsi="Arial" w:eastAsia="Arial" w:cs="Arial"/>
          <w:sz w:val="24"/>
          <w:szCs w:val="24"/>
          <w:lang w:val="pt-BR"/>
        </w:rPr>
        <w:t xml:space="preserve">Relações Étnico-Raciais e Afrodescendência </w:t>
      </w:r>
      <w:r>
        <w:rPr>
          <w:rFonts w:ascii="Arial" w:hAnsi="Arial" w:eastAsia="Arial" w:cs="Arial"/>
          <w:sz w:val="24"/>
          <w:szCs w:val="24"/>
          <w:lang w:val="pt-BR"/>
        </w:rPr>
        <w:t>amplia a consciência sobre equidade e inclusão no ambiente de trabalho, promovendo práticas de respeito e valorização das identidades plurais.</w:t>
      </w:r>
      <w:r>
        <w:rPr>
          <w:rFonts w:hint="default" w:ascii="Arial" w:hAnsi="Arial" w:eastAsia="Arial" w:cs="Arial"/>
          <w:sz w:val="24"/>
          <w:szCs w:val="24"/>
          <w:lang w:val="pt-BR"/>
        </w:rPr>
        <w:t xml:space="preserve"> No contexto de uma empresa de RH, ela fundamenta políticas inclusivas e práticas de valorização da equidade racial. Incorporar esses princípios ao PIM reforça o compromisso ético e social da empresa, contribuindo para a construção de um espaço de trabalho plural e justo.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/>
          <w:bCs/>
          <w:sz w:val="24"/>
          <w:szCs w:val="24"/>
          <w:lang w:val="pt-BR"/>
        </w:rPr>
      </w:pPr>
      <w:r>
        <w:rPr>
          <w:rFonts w:ascii="Arial" w:hAnsi="Arial" w:eastAsia="Arial" w:cs="Arial"/>
          <w:b/>
          <w:bCs/>
          <w:sz w:val="24"/>
          <w:szCs w:val="24"/>
          <w:lang w:val="pt-BR"/>
        </w:rPr>
        <w:t>Língua de Sinais- Libras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No Brasil, conforme Lacerda (2010) a Língua Brasileira de Sinais (Libras) é a forma essencial de comunicação entre surdos, contando com uma organização linguística singular, formada por elementos visuais e espaciais que a estabelecem como idioma autêntico, e não meros gestos. Conforme Quadros e Karnopp (2004), a Libras demonstra níveis fonológicos, morfológicos, sintáticos e semânticos, sendo tão rica e complexa quanto qualquer língua falada. Strobel (2008) destaca que a Lei nº 10.436/2002, que reconheceu a Libras, foi um momento crucial para afirmar a identidade surda e impulsionar a inclusão social e educacional da comunidade.</w:t>
      </w:r>
      <w:r>
        <w:br w:type="textWrapping"/>
      </w:r>
      <w:r>
        <w:br w:type="textWrapping"/>
      </w:r>
      <w:r>
        <w:rPr>
          <w:lang w:val="pt-BR"/>
        </w:rPr>
        <w:t xml:space="preserve">    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Ademais, segundo Lacerda (2010), saber Libras é vital para assegurar que surdos acessem informação, educação e direitos de cidadania, sendo crucial que educadores e outros profissionais desenvolvam habilidade comunicativa nessa língua. Assim, a Libras transcende a mera ferramenta de comunicação, representando uma manifestação cultural e uma validação da rica diversidade linguística existente no Brasil.</w:t>
      </w:r>
    </w:p>
    <w:p>
      <w:pPr>
        <w:spacing w:before="240" w:beforeAutospacing="0" w:after="240" w:afterAutospacing="0" w:line="36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lang w:val="pt-BR"/>
        </w:rPr>
        <w:t xml:space="preserve">     </w:t>
      </w:r>
      <w:r>
        <w:rPr>
          <w:rFonts w:hint="default" w:ascii="Arial" w:hAnsi="Arial" w:cs="Arial"/>
        </w:rPr>
        <w:t>Por fim, a disciplina de Libras reforça o compromisso com a acessibilidade e a comunicação inclusiva. Segundo Quadros e Karnopp (2020, p. 14), “a Libras é uma língua legítima, com estrutura gramatical própria, e instrumento essencial de inclusão das pessoas surdas na sociedade”.</w:t>
      </w:r>
    </w:p>
    <w:p>
      <w:pPr>
        <w:spacing w:before="240" w:beforeAutospacing="0" w:after="240" w:afterAutospacing="0" w:line="360" w:lineRule="auto"/>
        <w:jc w:val="both"/>
      </w:pPr>
      <w:r>
        <w:rPr>
          <w:rFonts w:hint="default" w:ascii="Arial" w:hAnsi="Arial" w:cs="Arial"/>
          <w:lang w:val="pt-BR"/>
        </w:rPr>
        <w:t xml:space="preserve">     </w:t>
      </w:r>
      <w:r>
        <w:rPr>
          <w:rFonts w:hint="default" w:ascii="Arial" w:hAnsi="Arial" w:cs="Arial"/>
        </w:rPr>
        <w:t>A aplicação prática dessa disciplina no PIM ocorre por meio do desenvolvimento de interfaces acessíveis e políticas organizacionais que assegurem a igualdade de comunicação no ambiente corporativo.</w:t>
      </w:r>
      <w:r>
        <w:rPr>
          <w:rFonts w:hint="default" w:ascii="Arial" w:hAnsi="Arial" w:cs="Arial"/>
          <w:lang w:val="pt-BR"/>
        </w:rPr>
        <w:t xml:space="preserve"> O uso da comunicação em</w:t>
      </w:r>
      <w:r>
        <w:rPr>
          <w:rFonts w:hint="default" w:ascii="Arial" w:hAnsi="Arial" w:cs="Arial"/>
        </w:rPr>
        <w:t xml:space="preserve"> Libras (Língua Brasileira de Sinais) amplia a acessibilidade e a inclusão na comunicação empresarial. Seu domínio básico permite interações mais equitativas com pessoas surdas, garantindo que as informações circulem de forma democrática. No PIM, essa disciplina contribui para o desenvolvimento de interfaces acessíveis e para o fortalecimento de uma cultura corporativa inclusiva.</w:t>
      </w:r>
    </w:p>
    <w:p>
      <w:pPr>
        <w:spacing w:before="240" w:beforeAutospacing="0" w:after="240" w:afterAutospacing="0" w:line="360" w:lineRule="auto"/>
        <w:jc w:val="both"/>
      </w:pPr>
      <w:r>
        <w:rPr>
          <w:rFonts w:hint="default" w:ascii="Arial" w:hAnsi="Arial" w:cs="Arial"/>
          <w:lang w:val="pt-BR"/>
        </w:rPr>
        <w:t xml:space="preserve">       </w:t>
      </w:r>
      <w:r>
        <w:rPr>
          <w:rFonts w:hint="default" w:ascii="Arial" w:hAnsi="Arial" w:cs="Arial"/>
        </w:rPr>
        <w:t>A integração das disciplinas apresentadas demonstra que o sucesso de um projeto, como o PIM, depende da articulação equilibrada entre conhecimento técnico, visão empreendedora e sensibilidade social. Cada componente curricular contribui de forma singular para a formação de um profissional completo, capaz de unir tecnologia, gestão e humanização no ambiente organizacional. No contexto de uma empresa de Recursos Humanos, essa integração resulta em uma proposta inovadora e inclusiva, que utiliza ferramentas tecnológicas para aprimorar os processos de gestão de pessoas e promover a diversidade. Assim, o PIM se consolida como um exercício prático de interdisciplinaridade, inovação e responsabilidade social, refletindo a formação integral que o ensino superior propõe.</w:t>
      </w:r>
    </w:p>
    <w:p>
      <w:pPr>
        <w:spacing w:before="240" w:beforeAutospacing="0" w:after="240" w:afterAutospacing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br w:type="textWrapping"/>
      </w: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Referências</w:t>
      </w:r>
      <w:r>
        <w:br w:type="textWrapping"/>
      </w:r>
      <w:r>
        <w:br w:type="textWrapping"/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BOOCH, Grady. Análise e projeto orientados a objetos com aplicações. 3. ed. Boston: Addison-Wesley, 2007.</w:t>
      </w:r>
    </w:p>
    <w:p>
      <w:pPr>
        <w:spacing w:before="240" w:beforeAutospacing="0" w:after="240" w:afterAutospacing="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BRASIL. Lei nº 10.436, de 24 de abril de 2002. Dispõe sobre a Língua Brasileira de Sinais – Libras e dá outras providências. Diário Oficial da União, Brasília, DF, 25 abr. 2002.</w:t>
      </w:r>
    </w:p>
    <w:p>
      <w:pPr>
        <w:spacing w:before="240" w:beforeAutospacing="0" w:after="240" w:afterAutospacing="0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CABRAL, Djamila Ribeiro.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O que é lugar de fala?</w:t>
      </w:r>
      <w:r>
        <w:rPr>
          <w:rFonts w:ascii="Arial" w:hAnsi="Arial" w:eastAsia="Arial" w:cs="Arial"/>
          <w:sz w:val="24"/>
          <w:szCs w:val="24"/>
          <w:lang w:val="pt-BR"/>
        </w:rPr>
        <w:t>. São Paulo: Letramento, 2019.</w:t>
      </w:r>
    </w:p>
    <w:p>
      <w:pPr>
        <w:spacing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CARVALHO, Marly Monteiro de; PALADINI, Edson Pacheco.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Gestão da qualidade: teoria e casos</w:t>
      </w:r>
      <w:r>
        <w:rPr>
          <w:rFonts w:ascii="Arial" w:hAnsi="Arial" w:eastAsia="Arial" w:cs="Arial"/>
          <w:sz w:val="24"/>
          <w:szCs w:val="24"/>
          <w:lang w:val="pt-BR"/>
        </w:rPr>
        <w:t>. 2. ed. Rio de Janeiro: Elsevier, 2012.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CHIAVENATO, Idalberto.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Gestão de pessoas: o novo papel dos recursos humanos nas organizações</w:t>
      </w:r>
      <w:r>
        <w:rPr>
          <w:rFonts w:ascii="Arial" w:hAnsi="Arial" w:eastAsia="Arial" w:cs="Arial"/>
          <w:sz w:val="24"/>
          <w:szCs w:val="24"/>
          <w:lang w:val="pt-BR"/>
        </w:rPr>
        <w:t>. 4. ed. Rio de Janeiro: Elsevier, 2014.</w:t>
      </w:r>
    </w:p>
    <w:p>
      <w:pPr>
        <w:spacing w:before="240" w:beforeAutospacing="0" w:after="240" w:afterAutospacing="0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COBRA, Marcos. Marketing pessoal e empregabilidade. 6. ed. São Paulo: Saraiva, 2010.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DATE, C. J. I</w:t>
      </w:r>
      <w:bookmarkStart w:id="0" w:name="_GoBack"/>
      <w:bookmarkEnd w:id="0"/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ntrodução a sistemas de banco dados. 8 ed. Rio de Janeiro: Elsevier,  2004.</w:t>
      </w:r>
      <w:r>
        <w:br w:type="textWrapping"/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DEITEL, Paul; DEITEL, Harvey. Java: como programar. 10. ed. São Paulo: Pearson, 2016.</w:t>
      </w:r>
    </w:p>
    <w:p>
      <w:pPr>
        <w:spacing w:before="240" w:beforeAutospacing="0" w:after="240" w:afterAutospacing="0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DORNELAS, José Carlos Assis. Empreendedorismo: transformando ideias em negócios. 6 Ed.Rio de Janeiro: Empreende/LTC,2018.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GIL, Antonio Carlos.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Gestão de pessoas: enfoque nos papéis profissionais</w:t>
      </w:r>
      <w:r>
        <w:rPr>
          <w:rFonts w:ascii="Arial" w:hAnsi="Arial" w:eastAsia="Arial" w:cs="Arial"/>
          <w:sz w:val="24"/>
          <w:szCs w:val="24"/>
          <w:lang w:val="pt-BR"/>
        </w:rPr>
        <w:t>. 3. ed. São Paulo: Atlas, 2019.</w:t>
      </w:r>
    </w:p>
    <w:p>
      <w:pPr>
        <w:spacing w:before="240" w:beforeAutospacing="0" w:after="240" w:afterAutospacing="0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GOMES, Nilma Lino.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Ações afirmativas e políticas de igualdade racial no Brasil</w:t>
      </w:r>
      <w:r>
        <w:rPr>
          <w:rFonts w:ascii="Arial" w:hAnsi="Arial" w:eastAsia="Arial" w:cs="Arial"/>
          <w:sz w:val="24"/>
          <w:szCs w:val="24"/>
          <w:lang w:val="pt-BR"/>
        </w:rPr>
        <w:t>. Brasília: MEC/SEPPIR, 2018.</w:t>
      </w:r>
    </w:p>
    <w:p>
      <w:pPr>
        <w:spacing w:before="240" w:beforeAutospacing="0" w:after="240" w:afterAutospacing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Grady. Análise e projeto orientados a objetos com aplicações. 3. ed. Boston: Addison-Wesley, 2007.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JURAN, J. M.; GODFREY, A. Blanton.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Juran’s quality handbook</w:t>
      </w:r>
      <w:r>
        <w:rPr>
          <w:rFonts w:ascii="Arial" w:hAnsi="Arial" w:eastAsia="Arial" w:cs="Arial"/>
          <w:sz w:val="24"/>
          <w:szCs w:val="24"/>
          <w:lang w:val="pt-BR"/>
        </w:rPr>
        <w:t>. 5. ed. New York: McGraw-Hill, 1999.</w:t>
      </w:r>
    </w:p>
    <w:p>
      <w:pPr>
        <w:spacing w:before="240" w:beforeAutospacing="0" w:after="240" w:afterAutospacing="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KOTLER, Philip; KELLER, Kevin Lane. Administração de marketing. 15. ed. São Paulo: Pearson, 2018.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LACERDA, Cristina Broglia Feitosa de. A inclusão escolar de alunos surdos: o que dizem alunos, professores e intérpretes sobre esta experiência. 2. ed. São Paulo: Plexus, </w:t>
      </w:r>
    </w:p>
    <w:p>
      <w:pPr>
        <w:spacing w:before="240" w:beforeAutospacing="0" w:after="240" w:afterAutospacing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LAGES, Mário. Marketing pessoal: sua imagem é o seu sucesso. 4. ed. Rio de Janeiro: Qualitymark, 2015.</w:t>
      </w:r>
    </w:p>
    <w:p>
      <w:pPr>
        <w:spacing w:before="240" w:beforeAutospacing="0" w:after="240" w:afterAutospacing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MUNANGA, Kabengele. Rediscutindo a mestiçagem no Brasil: identidade nacional versus identidade negra. 6. ed. Petrópolis: Vozes, 2019.</w:t>
      </w:r>
    </w:p>
    <w:p>
      <w:pPr>
        <w:spacing w:before="240" w:beforeAutospacing="0" w:after="240" w:afterAutospacing="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OOCH, GRADY; BOOCH, Análise e projeto orientados a objetos com aplicações. 3. ed. Boston: Addison-Wesley, 2007.</w:t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PALADINI, Edson Pacheco.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Gestão da qualidade: teoria e prática</w:t>
      </w:r>
      <w:r>
        <w:rPr>
          <w:rFonts w:ascii="Arial" w:hAnsi="Arial" w:eastAsia="Arial" w:cs="Arial"/>
          <w:sz w:val="24"/>
          <w:szCs w:val="24"/>
          <w:lang w:val="pt-BR"/>
        </w:rPr>
        <w:t>. 4. ed. São Paulo: Atlas, 2019.</w:t>
      </w:r>
      <w:r>
        <w:br w:type="textWrapping"/>
      </w:r>
      <w:r>
        <w:rPr>
          <w:rFonts w:ascii="Arial" w:hAnsi="Arial" w:eastAsia="Arial" w:cs="Arial"/>
          <w:sz w:val="24"/>
          <w:szCs w:val="24"/>
          <w:lang w:val="pt-BR"/>
        </w:rPr>
        <w:t xml:space="preserve">PFLEEGER, Shari Lawrence; ATLEE, Joanne M.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Engenharia de software: teoria e prática</w:t>
      </w:r>
      <w:r>
        <w:rPr>
          <w:rFonts w:ascii="Arial" w:hAnsi="Arial" w:eastAsia="Arial" w:cs="Arial"/>
          <w:sz w:val="24"/>
          <w:szCs w:val="24"/>
          <w:lang w:val="pt-BR"/>
        </w:rPr>
        <w:t>. 4. ed. São Paulo: Pearson Addison Wesley, 2010.</w:t>
      </w:r>
      <w:r>
        <w:br w:type="textWrapping"/>
      </w:r>
      <w:r>
        <w:br w:type="textWrapping"/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PRESSMAN, Roger S. Engenharia de software: uma abordagem profissional. 8. ed. Porto Alegre: AMGH, 2016.</w:t>
      </w:r>
    </w:p>
    <w:p>
      <w:pPr>
        <w:spacing w:before="240" w:beforeAutospacing="0" w:after="240" w:afterAutospacing="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QUADROS, Ronice Müller de; KARNOPP, Lodenir Becker. Língua de sinais brasileira: estudos linguísticos. Porto Alegre: Artmed, 2004.</w:t>
      </w:r>
      <w:r>
        <w:br w:type="textWrapping"/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SCHWALBE, Kathy.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Gerenciamento de projetos de tecnologia da informação</w:t>
      </w:r>
      <w:r>
        <w:rPr>
          <w:rFonts w:ascii="Arial" w:hAnsi="Arial" w:eastAsia="Arial" w:cs="Arial"/>
          <w:sz w:val="24"/>
          <w:szCs w:val="24"/>
          <w:lang w:val="pt-BR"/>
        </w:rPr>
        <w:t>. 9. ed. São Paulo: Cengage Learning, 2020.</w:t>
      </w:r>
    </w:p>
    <w:p>
      <w:pPr>
        <w:spacing w:before="240" w:beforeAutospacing="0" w:after="240" w:afterAutospacing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SILVA, Denise.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Raça, identidade e políticas públicas: reflexões sobre a afrodescendência no Brasil</w:t>
      </w:r>
      <w:r>
        <w:rPr>
          <w:rFonts w:ascii="Arial" w:hAnsi="Arial" w:eastAsia="Arial" w:cs="Arial"/>
          <w:sz w:val="24"/>
          <w:szCs w:val="24"/>
          <w:lang w:val="pt-BR"/>
        </w:rPr>
        <w:t>. Rio de Janeiro: PUC-Rio, 2015.</w:t>
      </w:r>
      <w:r>
        <w:br w:type="textWrapping"/>
      </w:r>
      <w:r>
        <w:br w:type="textWrapping"/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SOMMERVILLE, Ian. Engenharia de software. 10. ed. São Paulo: Pearson, 2019.</w:t>
      </w:r>
    </w:p>
    <w:p>
      <w:pPr>
        <w:spacing w:before="240" w:beforeAutospacing="0" w:after="240" w:afterAutospacing="0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STROBEL, Karin Lilian. As imagens do outro sobre a cultura surda. Florianópolis: UFSC, 2008.</w:t>
      </w:r>
      <w:r>
        <w:br w:type="textWrapping"/>
      </w:r>
    </w:p>
    <w:p>
      <w:pPr>
        <w:spacing w:before="240" w:beforeAutospacing="0" w:after="240" w:afterAutospacing="0" w:line="360" w:lineRule="auto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ascii="Arial" w:hAnsi="Arial" w:eastAsia="Arial" w:cs="Arial"/>
          <w:sz w:val="24"/>
          <w:szCs w:val="24"/>
          <w:lang w:val="pt-BR"/>
        </w:rPr>
        <w:t xml:space="preserve">ULRICH, Dave. </w:t>
      </w:r>
      <w:r>
        <w:rPr>
          <w:rFonts w:ascii="Arial" w:hAnsi="Arial" w:eastAsia="Arial" w:cs="Arial"/>
          <w:i/>
          <w:iCs/>
          <w:sz w:val="24"/>
          <w:szCs w:val="24"/>
          <w:lang w:val="pt-BR"/>
        </w:rPr>
        <w:t>Human resource champions: the next agenda for adding value and delivering results</w:t>
      </w:r>
      <w:r>
        <w:rPr>
          <w:rFonts w:ascii="Arial" w:hAnsi="Arial" w:eastAsia="Arial" w:cs="Arial"/>
          <w:sz w:val="24"/>
          <w:szCs w:val="24"/>
          <w:lang w:val="pt-BR"/>
        </w:rPr>
        <w:t>. Boston: Harvard Business School Press, 1998.</w:t>
      </w:r>
    </w:p>
    <w:p>
      <w:pPr>
        <w:spacing w:before="240" w:beforeAutospacing="0" w:after="240" w:afterAutospacing="0" w:line="360" w:lineRule="auto"/>
        <w:jc w:val="both"/>
      </w:pPr>
      <w:r>
        <w:br w:type="textWrapping"/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ource Serif Pro">
    <w:panose1 w:val="02040603050405020204"/>
    <w:charset w:val="00"/>
    <w:family w:val="auto"/>
    <w:pitch w:val="default"/>
    <w:sig w:usb0="20000287" w:usb1="0200000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BD95E2"/>
    <w:rsid w:val="00373B5C"/>
    <w:rsid w:val="01048DCF"/>
    <w:rsid w:val="012DB6DC"/>
    <w:rsid w:val="02024374"/>
    <w:rsid w:val="02030EE7"/>
    <w:rsid w:val="02E7BFB4"/>
    <w:rsid w:val="02FA7786"/>
    <w:rsid w:val="0311454D"/>
    <w:rsid w:val="035A90DA"/>
    <w:rsid w:val="03AEDBD1"/>
    <w:rsid w:val="03CE328F"/>
    <w:rsid w:val="0427AA31"/>
    <w:rsid w:val="04480B54"/>
    <w:rsid w:val="0526D0B3"/>
    <w:rsid w:val="058F2E94"/>
    <w:rsid w:val="059CE430"/>
    <w:rsid w:val="06231A50"/>
    <w:rsid w:val="0632225C"/>
    <w:rsid w:val="077E9BF4"/>
    <w:rsid w:val="088BCBDE"/>
    <w:rsid w:val="08CFF74B"/>
    <w:rsid w:val="090A9C56"/>
    <w:rsid w:val="090EDABC"/>
    <w:rsid w:val="09333E9B"/>
    <w:rsid w:val="09624003"/>
    <w:rsid w:val="09D45061"/>
    <w:rsid w:val="09DC004A"/>
    <w:rsid w:val="0A85ED9A"/>
    <w:rsid w:val="0B11282D"/>
    <w:rsid w:val="0B646192"/>
    <w:rsid w:val="0BB12041"/>
    <w:rsid w:val="0C335315"/>
    <w:rsid w:val="0CE3058A"/>
    <w:rsid w:val="0D21438D"/>
    <w:rsid w:val="0DAB7DDC"/>
    <w:rsid w:val="0DE447FB"/>
    <w:rsid w:val="0E0C21F8"/>
    <w:rsid w:val="0E403854"/>
    <w:rsid w:val="0E64C0FC"/>
    <w:rsid w:val="0E7FC386"/>
    <w:rsid w:val="101C3C7E"/>
    <w:rsid w:val="107B57C6"/>
    <w:rsid w:val="10C25676"/>
    <w:rsid w:val="10D6C8FD"/>
    <w:rsid w:val="1156AA3B"/>
    <w:rsid w:val="11679583"/>
    <w:rsid w:val="11A31254"/>
    <w:rsid w:val="11C2DA90"/>
    <w:rsid w:val="125003CF"/>
    <w:rsid w:val="12D6CBB2"/>
    <w:rsid w:val="137AF16A"/>
    <w:rsid w:val="139F3D06"/>
    <w:rsid w:val="13A723DC"/>
    <w:rsid w:val="158B7C61"/>
    <w:rsid w:val="160A1DD0"/>
    <w:rsid w:val="164F9785"/>
    <w:rsid w:val="16B5B22C"/>
    <w:rsid w:val="16C4FE09"/>
    <w:rsid w:val="172CC96F"/>
    <w:rsid w:val="17C77FD0"/>
    <w:rsid w:val="18251572"/>
    <w:rsid w:val="18481333"/>
    <w:rsid w:val="18A30402"/>
    <w:rsid w:val="18FFC2D4"/>
    <w:rsid w:val="190145A3"/>
    <w:rsid w:val="19151512"/>
    <w:rsid w:val="1AD6195D"/>
    <w:rsid w:val="1B277BA2"/>
    <w:rsid w:val="1B45F241"/>
    <w:rsid w:val="1C150FDD"/>
    <w:rsid w:val="1C165721"/>
    <w:rsid w:val="1C849296"/>
    <w:rsid w:val="1C8BE242"/>
    <w:rsid w:val="1D0A2CC3"/>
    <w:rsid w:val="1D3C3FEE"/>
    <w:rsid w:val="1D47D5A4"/>
    <w:rsid w:val="1D6E6DF6"/>
    <w:rsid w:val="1DD70EAE"/>
    <w:rsid w:val="1E31CB82"/>
    <w:rsid w:val="1E998C5A"/>
    <w:rsid w:val="1EA61DD2"/>
    <w:rsid w:val="1F665E3E"/>
    <w:rsid w:val="2026532C"/>
    <w:rsid w:val="214CED7F"/>
    <w:rsid w:val="2183FED3"/>
    <w:rsid w:val="21A95BB6"/>
    <w:rsid w:val="22BD95E2"/>
    <w:rsid w:val="22BEFF02"/>
    <w:rsid w:val="23103EAC"/>
    <w:rsid w:val="23323682"/>
    <w:rsid w:val="23445305"/>
    <w:rsid w:val="23AA6868"/>
    <w:rsid w:val="24EA4A31"/>
    <w:rsid w:val="25181E88"/>
    <w:rsid w:val="25302B43"/>
    <w:rsid w:val="25625986"/>
    <w:rsid w:val="26195F2F"/>
    <w:rsid w:val="2687A0B7"/>
    <w:rsid w:val="270E1B38"/>
    <w:rsid w:val="283B84BA"/>
    <w:rsid w:val="287CD6D4"/>
    <w:rsid w:val="2908AC5E"/>
    <w:rsid w:val="29765032"/>
    <w:rsid w:val="29A57ADC"/>
    <w:rsid w:val="2A3C471C"/>
    <w:rsid w:val="2A58E691"/>
    <w:rsid w:val="2A775EFB"/>
    <w:rsid w:val="2A8165EB"/>
    <w:rsid w:val="2AF173BE"/>
    <w:rsid w:val="2B392633"/>
    <w:rsid w:val="2B3F2457"/>
    <w:rsid w:val="2B42400B"/>
    <w:rsid w:val="2B7F5567"/>
    <w:rsid w:val="2B8B82B4"/>
    <w:rsid w:val="2BC35A2C"/>
    <w:rsid w:val="2C5F59E8"/>
    <w:rsid w:val="2DF02A6B"/>
    <w:rsid w:val="2E2A4CBF"/>
    <w:rsid w:val="2E3D6D49"/>
    <w:rsid w:val="31EF82DF"/>
    <w:rsid w:val="31F00518"/>
    <w:rsid w:val="3432F019"/>
    <w:rsid w:val="3481B546"/>
    <w:rsid w:val="34EBADCF"/>
    <w:rsid w:val="35130945"/>
    <w:rsid w:val="352A2231"/>
    <w:rsid w:val="3593DE6D"/>
    <w:rsid w:val="3697DD7B"/>
    <w:rsid w:val="36C9078D"/>
    <w:rsid w:val="36E57670"/>
    <w:rsid w:val="37457FE2"/>
    <w:rsid w:val="37F01481"/>
    <w:rsid w:val="387E7AF8"/>
    <w:rsid w:val="38CFC18F"/>
    <w:rsid w:val="38E13BA9"/>
    <w:rsid w:val="39043BE7"/>
    <w:rsid w:val="39697CE0"/>
    <w:rsid w:val="397C1BF6"/>
    <w:rsid w:val="39E0F6C7"/>
    <w:rsid w:val="3A240EE8"/>
    <w:rsid w:val="3A40258A"/>
    <w:rsid w:val="3B58B381"/>
    <w:rsid w:val="3B86BE07"/>
    <w:rsid w:val="3BB06209"/>
    <w:rsid w:val="3BC4A9BD"/>
    <w:rsid w:val="3BD8C7C0"/>
    <w:rsid w:val="3C1D5350"/>
    <w:rsid w:val="3C8E2F57"/>
    <w:rsid w:val="3CB7624C"/>
    <w:rsid w:val="3CC6EAF9"/>
    <w:rsid w:val="3D3446EA"/>
    <w:rsid w:val="3D687D55"/>
    <w:rsid w:val="3DB97DE8"/>
    <w:rsid w:val="3E09DAAE"/>
    <w:rsid w:val="3E135DEA"/>
    <w:rsid w:val="3E9160EC"/>
    <w:rsid w:val="3F061058"/>
    <w:rsid w:val="3F434286"/>
    <w:rsid w:val="40063717"/>
    <w:rsid w:val="40C920F5"/>
    <w:rsid w:val="40D13BE6"/>
    <w:rsid w:val="40E60F29"/>
    <w:rsid w:val="418878E0"/>
    <w:rsid w:val="42171247"/>
    <w:rsid w:val="42505AC9"/>
    <w:rsid w:val="4294A845"/>
    <w:rsid w:val="42DA53CB"/>
    <w:rsid w:val="42F84FC4"/>
    <w:rsid w:val="4394DD35"/>
    <w:rsid w:val="468803DE"/>
    <w:rsid w:val="46A8CD0D"/>
    <w:rsid w:val="46AAA3ED"/>
    <w:rsid w:val="46B2F09D"/>
    <w:rsid w:val="46D277F3"/>
    <w:rsid w:val="46DBE716"/>
    <w:rsid w:val="471BC0C5"/>
    <w:rsid w:val="47B7403A"/>
    <w:rsid w:val="48145C5F"/>
    <w:rsid w:val="48E57C31"/>
    <w:rsid w:val="49577D98"/>
    <w:rsid w:val="4A6D590B"/>
    <w:rsid w:val="4AA3A119"/>
    <w:rsid w:val="4B0125B7"/>
    <w:rsid w:val="4BB31F96"/>
    <w:rsid w:val="4BF50C71"/>
    <w:rsid w:val="4C05A30D"/>
    <w:rsid w:val="4CFC7501"/>
    <w:rsid w:val="4DA64FE2"/>
    <w:rsid w:val="4E1DBEBE"/>
    <w:rsid w:val="4E686FB9"/>
    <w:rsid w:val="4E80F987"/>
    <w:rsid w:val="4F724E59"/>
    <w:rsid w:val="4FBCEF37"/>
    <w:rsid w:val="4FC05167"/>
    <w:rsid w:val="4FCCCAD8"/>
    <w:rsid w:val="501D6BC0"/>
    <w:rsid w:val="5090C267"/>
    <w:rsid w:val="5127A16F"/>
    <w:rsid w:val="516F6BC5"/>
    <w:rsid w:val="51C303C4"/>
    <w:rsid w:val="51DDF323"/>
    <w:rsid w:val="51EA956F"/>
    <w:rsid w:val="523E04CB"/>
    <w:rsid w:val="5295783C"/>
    <w:rsid w:val="53A686C0"/>
    <w:rsid w:val="546350E5"/>
    <w:rsid w:val="551438C4"/>
    <w:rsid w:val="55D44CA9"/>
    <w:rsid w:val="5649414B"/>
    <w:rsid w:val="56DE1968"/>
    <w:rsid w:val="5730E1F6"/>
    <w:rsid w:val="581324DF"/>
    <w:rsid w:val="5898C478"/>
    <w:rsid w:val="58A7BFB6"/>
    <w:rsid w:val="58C76E28"/>
    <w:rsid w:val="58CBF29E"/>
    <w:rsid w:val="593D5E97"/>
    <w:rsid w:val="594763E6"/>
    <w:rsid w:val="595E62C5"/>
    <w:rsid w:val="5970FE51"/>
    <w:rsid w:val="59C5955D"/>
    <w:rsid w:val="59CBDDC8"/>
    <w:rsid w:val="59FA3938"/>
    <w:rsid w:val="5A54104C"/>
    <w:rsid w:val="5A777A83"/>
    <w:rsid w:val="5A9FF9E5"/>
    <w:rsid w:val="5B4FDC2E"/>
    <w:rsid w:val="5BC7A7C1"/>
    <w:rsid w:val="5C204622"/>
    <w:rsid w:val="5D852823"/>
    <w:rsid w:val="5DB4BA02"/>
    <w:rsid w:val="5DBF25F1"/>
    <w:rsid w:val="5DC45DB3"/>
    <w:rsid w:val="5E472023"/>
    <w:rsid w:val="5E7DBFD8"/>
    <w:rsid w:val="5FCD0BF9"/>
    <w:rsid w:val="5FD06F2D"/>
    <w:rsid w:val="5FE5BB20"/>
    <w:rsid w:val="602A58D0"/>
    <w:rsid w:val="602E141A"/>
    <w:rsid w:val="60493711"/>
    <w:rsid w:val="606DE566"/>
    <w:rsid w:val="6147B4E5"/>
    <w:rsid w:val="619E0606"/>
    <w:rsid w:val="61A599ED"/>
    <w:rsid w:val="621AF3B6"/>
    <w:rsid w:val="628FEB65"/>
    <w:rsid w:val="62989038"/>
    <w:rsid w:val="62E38B23"/>
    <w:rsid w:val="63578436"/>
    <w:rsid w:val="63681FCC"/>
    <w:rsid w:val="63CD0816"/>
    <w:rsid w:val="641D9D72"/>
    <w:rsid w:val="64CF6AAA"/>
    <w:rsid w:val="64DDFA23"/>
    <w:rsid w:val="64F37262"/>
    <w:rsid w:val="650EADCD"/>
    <w:rsid w:val="65CCFF8F"/>
    <w:rsid w:val="6637CAAA"/>
    <w:rsid w:val="666B80CD"/>
    <w:rsid w:val="67767A78"/>
    <w:rsid w:val="6776DC00"/>
    <w:rsid w:val="67C984A9"/>
    <w:rsid w:val="6976A14F"/>
    <w:rsid w:val="6ADE843A"/>
    <w:rsid w:val="6ADF6EB2"/>
    <w:rsid w:val="6AE44F5B"/>
    <w:rsid w:val="6AF033A8"/>
    <w:rsid w:val="6B026F67"/>
    <w:rsid w:val="6CB52432"/>
    <w:rsid w:val="6CEA2058"/>
    <w:rsid w:val="6DE0D435"/>
    <w:rsid w:val="6DFD82F6"/>
    <w:rsid w:val="6ECA8C62"/>
    <w:rsid w:val="6F2873D5"/>
    <w:rsid w:val="6F47A0CD"/>
    <w:rsid w:val="6F7A0872"/>
    <w:rsid w:val="6F876645"/>
    <w:rsid w:val="6F9AEC30"/>
    <w:rsid w:val="6FBDFBED"/>
    <w:rsid w:val="6FD82739"/>
    <w:rsid w:val="7003668D"/>
    <w:rsid w:val="708664E8"/>
    <w:rsid w:val="70EC0F39"/>
    <w:rsid w:val="70F1130D"/>
    <w:rsid w:val="7180250B"/>
    <w:rsid w:val="720A83D1"/>
    <w:rsid w:val="723B6F11"/>
    <w:rsid w:val="737F3B53"/>
    <w:rsid w:val="74219952"/>
    <w:rsid w:val="74235790"/>
    <w:rsid w:val="75511E8C"/>
    <w:rsid w:val="7588AF86"/>
    <w:rsid w:val="758F1A90"/>
    <w:rsid w:val="75F178C1"/>
    <w:rsid w:val="760F4918"/>
    <w:rsid w:val="766989BF"/>
    <w:rsid w:val="768DC349"/>
    <w:rsid w:val="76937EBC"/>
    <w:rsid w:val="76DA3E25"/>
    <w:rsid w:val="76F6C388"/>
    <w:rsid w:val="770CE9FB"/>
    <w:rsid w:val="772338BB"/>
    <w:rsid w:val="779DCB5D"/>
    <w:rsid w:val="77AAA691"/>
    <w:rsid w:val="7801060E"/>
    <w:rsid w:val="79A6928B"/>
    <w:rsid w:val="7AC7706A"/>
    <w:rsid w:val="7B8CC447"/>
    <w:rsid w:val="7BEFC38E"/>
    <w:rsid w:val="7D99CA23"/>
    <w:rsid w:val="7D9B6989"/>
    <w:rsid w:val="7DD20506"/>
    <w:rsid w:val="7E6E5A92"/>
    <w:rsid w:val="7FBE472B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pt-BR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character" w:styleId="6">
    <w:name w:val="Strong"/>
    <w:basedOn w:val="5"/>
    <w:qFormat/>
    <w:uiPriority w:val="22"/>
    <w:rPr>
      <w:b/>
      <w:bCs/>
    </w:rPr>
  </w:style>
  <w:style w:type="character" w:styleId="7">
    <w:name w:val="Emphasis"/>
    <w:basedOn w:val="5"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0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2025-10-09T14:24:00Z</dcterms:created>
  <dc:creator>VITOR TAKAASI</dc:creator>
  <cp:lastModifiedBy>cleide.takaasi</cp:lastModifiedBy>
  <dcterms:modified xsi:type="dcterms:W3CDTF">2025-11-10T02:06:07Z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1046-10.2.0.5820</vt:lpwstr>
  </property>
</Properties>
</file>