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rFonts w:ascii="times new roman" w:hAnsi="times new roman"/>
          <w:b/>
          <w:bCs/>
          <w:lang w:val="en-US"/>
        </w:rPr>
        <w:t xml:space="preserve">1. </w:t>
      </w:r>
      <w:r>
        <w:rPr>
          <w:rFonts w:ascii="times new roman" w:hAnsi="times new roman"/>
          <w:b/>
          <w:bCs/>
          <w:lang w:val="en-US"/>
        </w:rPr>
        <w:t>INTRODUCTION</w:t>
      </w:r>
      <w:r/>
    </w:p>
    <w:p>
      <w:pPr>
        <w:pStyle w:val="Normal"/>
        <w:rPr>
          <w:rFonts w:ascii="times new roman" w:hAnsi="times new roman"/>
          <w:lang w:val="en-US"/>
        </w:rPr>
      </w:pPr>
      <w:r>
        <w:rPr>
          <w:rFonts w:ascii="times new roman" w:hAnsi="times new roman"/>
          <w:lang w:val="en-US"/>
        </w:rPr>
      </w:r>
      <w:r/>
    </w:p>
    <w:p>
      <w:pPr>
        <w:pStyle w:val="Normal"/>
      </w:pPr>
      <w:r>
        <w:rPr>
          <w:rFonts w:ascii="times new roman" w:hAnsi="times new roman"/>
          <w:lang w:val="en-US"/>
        </w:rPr>
        <w:t xml:space="preserve">The continuous improvement in </w:t>
      </w:r>
      <w:r>
        <w:rPr>
          <w:rFonts w:ascii="times new roman" w:hAnsi="times new roman"/>
          <w:lang w:val="en-US"/>
        </w:rPr>
        <w:t xml:space="preserve">computers </w:t>
      </w:r>
      <w:r>
        <w:rPr>
          <w:rFonts w:ascii="times new roman" w:hAnsi="times new roman"/>
          <w:lang w:val="en-US"/>
        </w:rPr>
        <w:t xml:space="preserve">speed and storage capacity have had a deep impact in the way engineers and scientists </w:t>
      </w:r>
      <w:r>
        <w:rPr>
          <w:rFonts w:ascii="times new roman" w:hAnsi="times new roman"/>
          <w:lang w:val="en-US"/>
        </w:rPr>
        <w:t>work on their problems. The nuclear engineering field have been benefiting from computers continuous increasing in processing power, turning former expensive calculation methods into useful and practical tools to solve many different problems in the field. A recent focus is the use of thermal-hydraulics and neutronics codes to solve nuclear reactor problems in a coupled way. These coupled calculations approaches, also called multi-physics (cite Leppannen), offers an interesting way of modeling the feedback from thermal-hydraulics to neutronics and vice versa.</w:t>
      </w:r>
      <w:r/>
    </w:p>
    <w:p>
      <w:pPr>
        <w:pStyle w:val="Normal"/>
        <w:rPr>
          <w:rFonts w:ascii="times new roman" w:hAnsi="times new roman"/>
          <w:lang w:val="en-US"/>
        </w:rPr>
      </w:pPr>
      <w:r>
        <w:rPr>
          <w:rFonts w:ascii="times new roman" w:hAnsi="times new roman"/>
          <w:lang w:val="en-US"/>
        </w:rPr>
      </w:r>
      <w:r/>
    </w:p>
    <w:p>
      <w:pPr>
        <w:pStyle w:val="Normal"/>
      </w:pPr>
      <w:r>
        <w:rPr>
          <w:rFonts w:ascii="times new roman" w:hAnsi="times new roman"/>
          <w:lang w:val="en-US"/>
        </w:rPr>
        <w:t xml:space="preserve">Another interesting aspect of the computer hardware evolution, is the </w:t>
      </w:r>
      <w:r>
        <w:rPr>
          <w:rFonts w:ascii="times new roman" w:hAnsi="times new roman"/>
          <w:lang w:val="en-US"/>
        </w:rPr>
        <w:t>changes</w:t>
      </w:r>
      <w:r>
        <w:rPr>
          <w:rFonts w:ascii="times new roman" w:hAnsi="times new roman"/>
          <w:lang w:val="en-US"/>
        </w:rPr>
        <w:t xml:space="preserve"> in the </w:t>
      </w:r>
      <w:r>
        <w:rPr>
          <w:rFonts w:ascii="times new roman" w:hAnsi="times new roman"/>
          <w:lang w:val="en-US"/>
        </w:rPr>
        <w:t xml:space="preserve">associated software. The effect of software evolution in order to follow the respective hardware improvement is often neglected, specially in the nuclear engineering field. </w:t>
      </w:r>
      <w:r>
        <w:rPr>
          <w:rFonts w:ascii="times new roman" w:hAnsi="times new roman"/>
          <w:lang w:val="en-US"/>
        </w:rPr>
        <w:t xml:space="preserve">Despite the healthy discussion on the safety and the advantages and disadvantages of open software in many fields (cite </w:t>
      </w:r>
      <w:r>
        <w:rPr>
          <w:rFonts w:ascii="times new roman" w:hAnsi="times new roman"/>
        </w:rPr>
        <w:t>Androutsellis-Theotokis</w:t>
      </w:r>
      <w:r>
        <w:rPr>
          <w:rFonts w:ascii="times new roman" w:hAnsi="times new roman"/>
        </w:rPr>
        <w:t>), it's impossible to deny open software influence in the society nowdays. However, more than software itself, open software brings a new culture of software development and, as one would expect, this cultural change reached scientists and engineers in the nuclear field. It goes from Monte Carlo criticality calculations like proposed by the OpenMC project (citar Romano Forget 2013), passing through deterministic approaches for neutron calculations (citar Boyd 2014), to full nuclear cycle calculations (citar Huff_etal_2016). All of these softwares share a common aspect: they are all open, freely available and, most important, their development is decentralized and anyone interested in participating can download it, make changes and improvements and submit the contribution to the community. This development cycle is, probably, the main strength of an open software project.</w:t>
      </w:r>
      <w:r/>
    </w:p>
    <w:p>
      <w:pPr>
        <w:pStyle w:val="Normal"/>
        <w:rPr>
          <w:rFonts w:ascii="times new roman" w:hAnsi="times new roman"/>
        </w:rPr>
      </w:pPr>
      <w:r>
        <w:rPr>
          <w:rFonts w:ascii="times new roman" w:hAnsi="times new roman"/>
        </w:rPr>
      </w:r>
      <w:r/>
    </w:p>
    <w:p>
      <w:pPr>
        <w:pStyle w:val="Normal"/>
      </w:pPr>
      <w:r>
        <w:rPr>
          <w:rFonts w:ascii="times new roman" w:hAnsi="times new roman"/>
        </w:rPr>
        <w:t xml:space="preserve">This work discusses some efforts initiated as a cooperation development between the Nuclear Engineering Department, Federal University of Minas Gerais and Reactors Technology Service, Nuclear Technology Development Center of Brazilian National Nuclear Commission. In the light of the open software development, the present work aims to introduce a coupled neutronics and thermal-hydraulics framework for nuclear reactors calculations. The thermal-hydraulics calculations are performed by an open software Computational Fluid Dynamics (CFD) toolbox called </w:t>
      </w:r>
      <w:r>
        <w:rPr>
          <w:rFonts w:ascii="times new roman" w:hAnsi="times new roman"/>
          <w:i/>
          <w:iCs/>
        </w:rPr>
        <w:t xml:space="preserve">OpenFOAM </w:t>
      </w:r>
      <w:r>
        <w:rPr>
          <w:rFonts w:ascii="times new roman" w:hAnsi="times new roman"/>
          <w:i w:val="false"/>
          <w:iCs w:val="false"/>
        </w:rPr>
        <w:t>(citar OpenFOAM)</w:t>
      </w:r>
      <w:r>
        <w:rPr>
          <w:rFonts w:ascii="times new roman" w:hAnsi="times new roman"/>
          <w:i w:val="false"/>
          <w:iCs w:val="false"/>
        </w:rPr>
        <w:t xml:space="preserve">. </w:t>
      </w:r>
      <w:r>
        <w:rPr>
          <w:rFonts w:ascii="times new roman" w:hAnsi="times new roman"/>
          <w:i w:val="false"/>
          <w:iCs w:val="false"/>
        </w:rPr>
        <w:t xml:space="preserve">For neutronics calculations, a free nuclear reactor core analysis code called </w:t>
      </w:r>
      <w:r>
        <w:rPr>
          <w:rFonts w:ascii="times new roman" w:hAnsi="times new roman"/>
          <w:i/>
          <w:iCs/>
        </w:rPr>
        <w:t xml:space="preserve">milonga </w:t>
      </w:r>
      <w:r>
        <w:rPr>
          <w:rFonts w:ascii="times new roman" w:hAnsi="times new roman"/>
          <w:i w:val="false"/>
          <w:iCs w:val="false"/>
        </w:rPr>
        <w:t xml:space="preserve">solves the steady-state multigroup neutron transport equation </w:t>
      </w:r>
      <w:r>
        <w:rPr>
          <w:rFonts w:ascii="times new roman" w:hAnsi="times new roman"/>
          <w:i w:val="false"/>
          <w:iCs w:val="false"/>
        </w:rPr>
        <w:t>(citar milonga)</w:t>
      </w:r>
      <w:r>
        <w:rPr>
          <w:rFonts w:ascii="times new roman" w:hAnsi="times new roman"/>
          <w:i w:val="false"/>
          <w:iCs w:val="false"/>
        </w:rPr>
        <w:t xml:space="preserve">. </w:t>
      </w:r>
      <w:r>
        <w:rPr>
          <w:rFonts w:ascii="times new roman" w:hAnsi="times new roman"/>
          <w:i w:val="false"/>
          <w:iCs w:val="false"/>
        </w:rPr>
        <w:t xml:space="preserve">In this coupled framework, both codes use the same mesh for domain discretization, </w:t>
      </w:r>
      <w:r>
        <w:rPr>
          <w:rFonts w:ascii="times new roman" w:hAnsi="times new roman"/>
          <w:i w:val="false"/>
          <w:iCs w:val="false"/>
        </w:rPr>
        <w:t>allowing both codes to solve their problems with the same degree of detail.</w:t>
      </w:r>
      <w:r>
        <w:rPr>
          <w:rFonts w:ascii="times new roman" w:hAnsi="times new roman"/>
          <w:i w:val="false"/>
          <w:iCs w:val="false"/>
        </w:rPr>
        <w:t xml:space="preserve"> </w:t>
      </w:r>
      <w:r>
        <w:rPr>
          <w:rFonts w:ascii="times new roman" w:hAnsi="times new roman"/>
          <w:i w:val="false"/>
          <w:iCs w:val="false"/>
        </w:rPr>
        <w:t>D</w:t>
      </w:r>
      <w:r>
        <w:rPr>
          <w:rFonts w:ascii="times new roman" w:hAnsi="times new roman"/>
          <w:i w:val="false"/>
          <w:iCs w:val="false"/>
        </w:rPr>
        <w:t xml:space="preserve">ata is shared between them through a shared memory scheme, </w:t>
      </w:r>
      <w:r>
        <w:rPr>
          <w:rFonts w:ascii="times new roman" w:hAnsi="times new roman"/>
          <w:i w:val="false"/>
          <w:iCs w:val="false"/>
        </w:rPr>
        <w:t xml:space="preserve">which poses no overhead for communication </w:t>
      </w:r>
      <w:r>
        <w:rPr>
          <w:rFonts w:ascii="times new roman" w:hAnsi="times new roman"/>
          <w:i w:val="false"/>
          <w:iCs w:val="false"/>
        </w:rPr>
        <w:t xml:space="preserve">larger than </w:t>
      </w:r>
      <w:r>
        <w:rPr>
          <w:rFonts w:ascii="times new roman" w:hAnsi="times new roman"/>
          <w:i w:val="false"/>
          <w:iCs w:val="false"/>
        </w:rPr>
        <w:t>any ordina</w:t>
      </w:r>
      <w:r>
        <w:rPr>
          <w:rFonts w:ascii="times new roman" w:hAnsi="times new roman"/>
          <w:i w:val="false"/>
          <w:iCs w:val="false"/>
        </w:rPr>
        <w:t>r</w:t>
      </w:r>
      <w:r>
        <w:rPr>
          <w:rFonts w:ascii="times new roman" w:hAnsi="times new roman"/>
          <w:i w:val="false"/>
          <w:iCs w:val="false"/>
        </w:rPr>
        <w:t>y</w:t>
      </w:r>
      <w:r>
        <w:rPr>
          <w:rFonts w:ascii="times new roman" w:hAnsi="times new roman"/>
          <w:i/>
          <w:iCs/>
        </w:rPr>
        <w:t xml:space="preserve"> </w:t>
      </w:r>
      <w:r>
        <w:rPr>
          <w:rFonts w:ascii="times new roman" w:hAnsi="times new roman"/>
          <w:i w:val="false"/>
          <w:iCs w:val="false"/>
        </w:rPr>
        <w:t>memory access</w:t>
      </w:r>
      <w:r>
        <w:rPr>
          <w:rFonts w:ascii="times new roman" w:hAnsi="times new roman"/>
          <w:i w:val="false"/>
          <w:iCs w:val="false"/>
        </w:rPr>
        <w:t>.</w:t>
      </w:r>
      <w:r>
        <w:rPr>
          <w:rFonts w:ascii="times new roman" w:hAnsi="times new roman"/>
          <w:i w:val="false"/>
          <w:iCs w:val="false"/>
        </w:rPr>
        <w:t xml:space="preserve"> </w:t>
      </w:r>
      <w:r>
        <w:rPr>
          <w:rFonts w:ascii="times new roman" w:hAnsi="times new roman"/>
          <w:i w:val="false"/>
          <w:iCs w:val="false"/>
        </w:rPr>
        <w:t xml:space="preserve">The cross-sections processing is performed using </w:t>
      </w:r>
      <w:r>
        <w:rPr>
          <w:rFonts w:ascii="times new roman" w:hAnsi="times new roman"/>
          <w:i/>
          <w:iCs/>
        </w:rPr>
        <w:t>Serpent</w:t>
      </w:r>
      <w:r>
        <w:rPr>
          <w:rFonts w:ascii="times new roman" w:hAnsi="times new roman"/>
          <w:i w:val="false"/>
          <w:iCs w:val="false"/>
        </w:rPr>
        <w:t xml:space="preserve"> continuous-energy Monte Carlo reactor physics code </w:t>
      </w:r>
      <w:r>
        <w:rPr>
          <w:rFonts w:ascii="times new roman" w:hAnsi="times new roman"/>
          <w:i w:val="false"/>
          <w:iCs w:val="false"/>
        </w:rPr>
        <w:t>(citar Serpent)</w:t>
      </w:r>
      <w:r>
        <w:rPr>
          <w:rFonts w:ascii="times new roman" w:hAnsi="times new roman"/>
          <w:i w:val="false"/>
          <w:iCs w:val="false"/>
        </w:rPr>
        <w:t xml:space="preserve">. </w:t>
      </w:r>
      <w:r>
        <w:rPr>
          <w:rFonts w:ascii="times new roman" w:hAnsi="times new roman"/>
          <w:i w:val="false"/>
          <w:iCs w:val="false"/>
        </w:rPr>
        <w:t xml:space="preserve">From continuous cross-section libraries a set of two-groups cross-sections </w:t>
      </w:r>
      <w:r>
        <w:rPr>
          <w:rFonts w:ascii="times new roman" w:hAnsi="times new roman"/>
          <w:i w:val="false"/>
          <w:iCs w:val="false"/>
        </w:rPr>
        <w:t>is generated f</w:t>
      </w:r>
      <w:r>
        <w:rPr>
          <w:rFonts w:ascii="times new roman" w:hAnsi="times new roman"/>
          <w:i w:val="false"/>
          <w:iCs w:val="false"/>
        </w:rPr>
        <w:t xml:space="preserve">or three different materials at different temperatures, </w:t>
      </w:r>
      <w:r>
        <w:rPr>
          <w:rFonts w:ascii="times new roman" w:hAnsi="times new roman"/>
          <w:i w:val="false"/>
          <w:iCs w:val="false"/>
        </w:rPr>
        <w:t>corresponding to the modeled fuel element temperatures variation.</w:t>
      </w:r>
      <w:r/>
    </w:p>
    <w:p>
      <w:pPr>
        <w:pStyle w:val="Normal"/>
        <w:rPr>
          <w:i w:val="false"/>
          <w:i w:val="false"/>
          <w:iCs w:val="false"/>
          <w:rFonts w:ascii="times new roman" w:hAnsi="times new roman"/>
        </w:rPr>
      </w:pPr>
      <w:r>
        <w:rPr>
          <w:rFonts w:ascii="times new roman" w:hAnsi="times new roman"/>
          <w:i w:val="false"/>
          <w:iCs w:val="false"/>
        </w:rPr>
      </w:r>
      <w:r/>
    </w:p>
    <w:p>
      <w:pPr>
        <w:pStyle w:val="Normal"/>
      </w:pPr>
      <w:r>
        <w:rPr>
          <w:rFonts w:ascii="times new roman" w:hAnsi="times new roman"/>
          <w:i w:val="false"/>
          <w:iCs w:val="false"/>
        </w:rPr>
        <w:t>In order to validate the coupled framework, a geometry representing a quarter of a TRIGA reactor fuel element is modeled and meshed. It is worth noting that validat</w:t>
      </w:r>
      <w:r>
        <w:rPr>
          <w:rFonts w:ascii="times new roman" w:hAnsi="times new roman"/>
          <w:i w:val="false"/>
          <w:iCs w:val="false"/>
        </w:rPr>
        <w:t>ion</w:t>
      </w:r>
      <w:r>
        <w:rPr>
          <w:rFonts w:ascii="times new roman" w:hAnsi="times new roman"/>
          <w:i w:val="false"/>
          <w:iCs w:val="false"/>
        </w:rPr>
        <w:t xml:space="preserve"> in the context means to guarantee that data is properly exchange</w:t>
      </w:r>
      <w:r>
        <w:rPr>
          <w:rFonts w:ascii="times new roman" w:hAnsi="times new roman"/>
          <w:i w:val="false"/>
          <w:iCs w:val="false"/>
        </w:rPr>
        <w:t>d</w:t>
      </w:r>
      <w:r>
        <w:rPr>
          <w:rFonts w:ascii="times new roman" w:hAnsi="times new roman"/>
          <w:i w:val="false"/>
          <w:iCs w:val="false"/>
        </w:rPr>
        <w:t xml:space="preserve"> from thermal-hydraulics to neutronics and the vice versa, calculations are correctly carried and numerical convergence is achieved in both codes. </w:t>
      </w:r>
      <w:r>
        <w:rPr>
          <w:rFonts w:ascii="times new roman" w:hAnsi="times new roman"/>
          <w:i w:val="false"/>
          <w:iCs w:val="false"/>
        </w:rPr>
        <w:t xml:space="preserve">In other words, the validation of the methodology and the correctness of the implementation are presented </w:t>
      </w:r>
      <w:r>
        <w:rPr>
          <w:rFonts w:ascii="times new roman" w:hAnsi="times new roman"/>
          <w:i w:val="false"/>
          <w:iCs w:val="false"/>
        </w:rPr>
        <w:t>for this framework of three-dimensional multi-physics calculations.</w:t>
      </w:r>
      <w:r/>
    </w:p>
    <w:p>
      <w:pPr>
        <w:pStyle w:val="Normal"/>
        <w:rPr>
          <w:i w:val="false"/>
          <w:i w:val="false"/>
          <w:iCs w:val="false"/>
          <w:rFonts w:ascii="times new roman" w:hAnsi="times new roman"/>
        </w:rPr>
      </w:pPr>
      <w:r>
        <w:rPr>
          <w:rFonts w:ascii="times new roman" w:hAnsi="times new roman"/>
          <w:i w:val="false"/>
          <w:iCs w:val="false"/>
        </w:rPr>
      </w:r>
      <w:r/>
    </w:p>
    <w:p>
      <w:pPr>
        <w:pStyle w:val="Normal"/>
      </w:pPr>
      <w:r>
        <w:rPr>
          <w:rFonts w:ascii="times new roman" w:hAnsi="times new roman"/>
          <w:i w:val="false"/>
          <w:iCs w:val="false"/>
        </w:rPr>
        <w:t>I</w:t>
      </w:r>
      <w:r>
        <w:rPr>
          <w:rFonts w:ascii="times new roman" w:hAnsi="times new roman"/>
          <w:i w:val="false"/>
          <w:iCs w:val="false"/>
        </w:rPr>
        <w:t>n Section 2 the models, codes used and methodology for cross-sections generation, are briefly described. In Section 3, the coupled aspects are discussed involving details and implementation decisions. Section 4 is dedicated to describe the application and results from separated and coupled calculations. Finally, in Section 5, the conclusions and results are presented along with the discussion of future development paths for the framework.</w:t>
      </w:r>
      <w:r/>
    </w:p>
    <w:p>
      <w:pPr>
        <w:pStyle w:val="Normal"/>
        <w:rPr>
          <w:i w:val="false"/>
          <w:i w:val="false"/>
          <w:iCs w:val="false"/>
          <w:rFonts w:ascii="times new roman" w:hAnsi="times new roman"/>
        </w:rPr>
      </w:pPr>
      <w:r>
        <w:rPr>
          <w:rFonts w:ascii="times new roman" w:hAnsi="times new roman"/>
          <w:i w:val="false"/>
          <w:iCs w:val="false"/>
        </w:rPr>
      </w:r>
      <w:r/>
    </w:p>
    <w:p>
      <w:pPr>
        <w:pStyle w:val="Normal"/>
      </w:pPr>
      <w:r>
        <w:rPr>
          <w:rFonts w:ascii="times new roman" w:hAnsi="times new roman"/>
          <w:b/>
          <w:bCs/>
          <w:i w:val="false"/>
          <w:iCs w:val="false"/>
          <w:lang w:val="en-US"/>
        </w:rPr>
        <w:t>2</w:t>
      </w:r>
      <w:r>
        <w:rPr>
          <w:rFonts w:ascii="times new roman" w:hAnsi="times new roman"/>
          <w:b/>
          <w:bCs/>
          <w:i w:val="false"/>
          <w:iCs w:val="false"/>
          <w:lang w:val="en-US"/>
        </w:rPr>
        <w:t xml:space="preserve">. </w:t>
      </w:r>
      <w:r>
        <w:rPr>
          <w:rFonts w:ascii="times new roman" w:hAnsi="times new roman"/>
          <w:b/>
          <w:bCs/>
          <w:i w:val="false"/>
          <w:iCs w:val="false"/>
          <w:lang w:val="en-US"/>
        </w:rPr>
        <w:t>MODELS AND METHODOLOGY</w:t>
      </w:r>
      <w:r/>
    </w:p>
    <w:p>
      <w:pPr>
        <w:pStyle w:val="Normal"/>
        <w:rPr>
          <w:i w:val="false"/>
          <w:b/>
          <w:i w:val="false"/>
          <w:b/>
          <w:iCs w:val="false"/>
          <w:bCs/>
          <w:rFonts w:ascii="times new roman" w:hAnsi="times new roman"/>
          <w:lang w:val="en-US"/>
        </w:rPr>
      </w:pPr>
      <w:r>
        <w:rPr>
          <w:rFonts w:ascii="times new roman" w:hAnsi="times new roman"/>
          <w:b/>
          <w:bCs/>
          <w:i w:val="false"/>
          <w:iCs w:val="false"/>
          <w:lang w:val="en-US"/>
        </w:rPr>
      </w:r>
      <w:r/>
    </w:p>
    <w:p>
      <w:pPr>
        <w:pStyle w:val="Normal"/>
      </w:pPr>
      <w:r>
        <w:rPr>
          <w:rFonts w:ascii="times new roman" w:hAnsi="times new roman"/>
          <w:b w:val="false"/>
          <w:bCs w:val="false"/>
          <w:i w:val="false"/>
          <w:iCs w:val="false"/>
          <w:lang w:val="en-US"/>
        </w:rPr>
        <w:t xml:space="preserve">Before </w:t>
      </w:r>
      <w:r>
        <w:rPr>
          <w:rFonts w:ascii="times new roman" w:hAnsi="times new roman"/>
          <w:b w:val="false"/>
          <w:bCs w:val="false"/>
          <w:i w:val="false"/>
          <w:iCs w:val="false"/>
          <w:lang w:val="en-US"/>
        </w:rPr>
        <w:t>diving</w:t>
      </w:r>
      <w:r>
        <w:rPr>
          <w:rFonts w:ascii="times new roman" w:hAnsi="times new roman"/>
          <w:b w:val="false"/>
          <w:bCs w:val="false"/>
          <w:i w:val="false"/>
          <w:iCs w:val="false"/>
          <w:lang w:val="en-US"/>
        </w:rPr>
        <w:t xml:space="preserve"> in</w:t>
      </w:r>
      <w:r>
        <w:rPr>
          <w:rFonts w:ascii="times new roman" w:hAnsi="times new roman"/>
          <w:b w:val="false"/>
          <w:bCs w:val="false"/>
          <w:i w:val="false"/>
          <w:iCs w:val="false"/>
          <w:lang w:val="en-US"/>
        </w:rPr>
        <w:t>to</w:t>
      </w:r>
      <w:r>
        <w:rPr>
          <w:rFonts w:ascii="times new roman" w:hAnsi="times new roman"/>
          <w:b w:val="false"/>
          <w:bCs w:val="false"/>
          <w:i w:val="false"/>
          <w:iCs w:val="false"/>
          <w:lang w:val="en-US"/>
        </w:rPr>
        <w:t xml:space="preserve"> the details of the coupled calculations, it is important to describe the models and methodology used for each code in stand-alone mode. It is also fundamental to remark that both codes solve their equations in a steady-state mode. </w:t>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t>2.1 Thermal-hydraulics</w:t>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pPr>
      <w:r>
        <w:rPr>
          <w:rFonts w:ascii="times new roman" w:hAnsi="times new roman"/>
          <w:b w:val="false"/>
          <w:bCs w:val="false"/>
          <w:i w:val="false"/>
          <w:iCs w:val="false"/>
          <w:lang w:val="en-US"/>
        </w:rPr>
        <w:t xml:space="preserve">The </w:t>
      </w:r>
      <w:r>
        <w:rPr>
          <w:rFonts w:ascii="times new roman" w:hAnsi="times new roman"/>
          <w:b w:val="false"/>
          <w:bCs w:val="false"/>
          <w:i/>
          <w:iCs/>
          <w:lang w:val="en-US"/>
        </w:rPr>
        <w:t xml:space="preserve">OpenFOAM </w:t>
      </w:r>
      <w:r>
        <w:rPr>
          <w:rFonts w:ascii="times new roman" w:hAnsi="times new roman"/>
          <w:b w:val="false"/>
          <w:bCs w:val="false"/>
          <w:i w:val="false"/>
          <w:iCs w:val="false"/>
          <w:lang w:val="en-US"/>
        </w:rPr>
        <w:t xml:space="preserve">toolbox offers numerical solvers for many common problems, </w:t>
      </w:r>
      <w:r>
        <w:rPr>
          <w:rFonts w:ascii="times new roman" w:hAnsi="times new roman"/>
          <w:b w:val="false"/>
          <w:bCs w:val="false"/>
          <w:i w:val="false"/>
          <w:iCs w:val="false"/>
          <w:lang w:val="en-US"/>
        </w:rPr>
        <w:t xml:space="preserve">like heat transfer, two phase fluid flow, financial problems and many others. In order to solve a one phase fluid flow including </w:t>
      </w:r>
      <w:r>
        <w:rPr>
          <w:rFonts w:ascii="times new roman" w:hAnsi="times new roman"/>
          <w:b w:val="false"/>
          <w:bCs w:val="false"/>
          <w:i w:val="false"/>
          <w:iCs w:val="false"/>
          <w:lang w:val="en-US"/>
        </w:rPr>
        <w:t xml:space="preserve">conjugated </w:t>
      </w:r>
      <w:r>
        <w:rPr>
          <w:rFonts w:ascii="times new roman" w:hAnsi="times new roman"/>
          <w:b w:val="false"/>
          <w:bCs w:val="false"/>
          <w:i w:val="false"/>
          <w:iCs w:val="false"/>
          <w:lang w:val="en-US"/>
        </w:rPr>
        <w:t xml:space="preserve">heat transfer </w:t>
      </w:r>
      <w:r>
        <w:rPr>
          <w:rFonts w:ascii="times new roman" w:hAnsi="times new roman"/>
          <w:b w:val="false"/>
          <w:bCs w:val="false"/>
          <w:i w:val="false"/>
          <w:iCs w:val="false"/>
          <w:lang w:val="en-US"/>
        </w:rPr>
        <w:t>from three</w:t>
      </w:r>
      <w:r>
        <w:rPr>
          <w:rFonts w:ascii="times new roman" w:hAnsi="times new roman"/>
          <w:b w:val="false"/>
          <w:bCs w:val="false"/>
          <w:i w:val="false"/>
          <w:iCs w:val="false"/>
          <w:lang w:val="en-US"/>
        </w:rPr>
        <w:t xml:space="preserve"> different materials, the so-called </w:t>
      </w:r>
      <w:r>
        <w:rPr>
          <w:rFonts w:ascii="Courier new" w:hAnsi="Courier new"/>
          <w:b w:val="false"/>
          <w:bCs w:val="false"/>
          <w:i w:val="false"/>
          <w:iCs w:val="false"/>
          <w:lang w:val="en-US"/>
        </w:rPr>
        <w:t>chtMultiRegionSimpleFoam</w:t>
      </w:r>
      <w:r>
        <w:rPr>
          <w:rFonts w:ascii="times new roman" w:hAnsi="times new roman"/>
          <w:b w:val="false"/>
          <w:bCs w:val="false"/>
          <w:i w:val="false"/>
          <w:iCs w:val="false"/>
          <w:lang w:val="en-US"/>
        </w:rPr>
        <w:t xml:space="preserve"> was </w:t>
      </w:r>
      <w:r>
        <w:rPr>
          <w:rFonts w:ascii="times new roman" w:hAnsi="times new roman"/>
          <w:b w:val="false"/>
          <w:bCs w:val="false"/>
          <w:i w:val="false"/>
          <w:iCs w:val="false"/>
          <w:lang w:val="en-US"/>
        </w:rPr>
        <w:t>the choice.</w:t>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pPr>
      <w:r>
        <w:rPr>
          <w:rFonts w:ascii="times new roman" w:hAnsi="times new roman"/>
          <w:b w:val="false"/>
          <w:bCs w:val="false"/>
          <w:i w:val="false"/>
          <w:iCs w:val="false"/>
          <w:lang w:val="en-US"/>
        </w:rPr>
        <w:t>T</w:t>
      </w:r>
      <w:r>
        <w:rPr>
          <w:rFonts w:ascii="times new roman" w:hAnsi="times new roman"/>
          <w:b w:val="false"/>
          <w:bCs w:val="false"/>
          <w:i w:val="false"/>
          <w:iCs w:val="false"/>
          <w:lang w:val="en-US"/>
        </w:rPr>
        <w:t xml:space="preserve">he </w:t>
      </w:r>
      <w:r>
        <w:rPr>
          <w:rFonts w:ascii="times new roman" w:hAnsi="times new roman"/>
          <w:b w:val="false"/>
          <w:bCs w:val="false"/>
          <w:i w:val="false"/>
          <w:iCs w:val="false"/>
          <w:lang w:val="en-US"/>
        </w:rPr>
        <w:t xml:space="preserve">fluid dynamics is governed by the momentum equation, continuity equation and energy equation (i.e. Navier-Stokes equation – CITAR). </w:t>
      </w:r>
      <w:r>
        <w:rPr>
          <w:rFonts w:ascii="times new roman" w:hAnsi="times new roman"/>
          <w:b w:val="false"/>
          <w:bCs w:val="false"/>
          <w:i w:val="false"/>
          <w:iCs w:val="false"/>
          <w:lang w:val="en-US"/>
        </w:rPr>
        <w:t xml:space="preserve">The chosen solver separates fluid regions from solid regions and then solves </w:t>
      </w:r>
      <w:r>
        <w:rPr>
          <w:rFonts w:ascii="times new roman" w:hAnsi="times new roman"/>
          <w:b w:val="false"/>
          <w:bCs w:val="false"/>
          <w:i w:val="false"/>
          <w:iCs w:val="false"/>
          <w:lang w:val="en-US"/>
        </w:rPr>
        <w:t>the</w:t>
      </w:r>
      <w:r>
        <w:rPr>
          <w:rFonts w:ascii="times new roman" w:hAnsi="times new roman"/>
          <w:b w:val="false"/>
          <w:bCs w:val="false"/>
          <w:i w:val="false"/>
          <w:iCs w:val="false"/>
          <w:lang w:val="en-US"/>
        </w:rPr>
        <w:t xml:space="preserve"> appropriated equations for each type of region, taking in</w:t>
      </w:r>
      <w:r>
        <w:rPr>
          <w:rFonts w:ascii="times new roman" w:hAnsi="times new roman"/>
          <w:b w:val="false"/>
          <w:bCs w:val="false"/>
          <w:i w:val="false"/>
          <w:iCs w:val="false"/>
          <w:lang w:val="en-US"/>
        </w:rPr>
        <w:t>to</w:t>
      </w:r>
      <w:r>
        <w:rPr>
          <w:rFonts w:ascii="times new roman" w:hAnsi="times new roman"/>
          <w:b w:val="false"/>
          <w:bCs w:val="false"/>
          <w:i w:val="false"/>
          <w:iCs w:val="false"/>
          <w:lang w:val="en-US"/>
        </w:rPr>
        <w:t xml:space="preserve"> account the thermal and physical properties of each material, defined for every region. </w:t>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pPr>
      <w:r>
        <w:rPr>
          <w:rFonts w:ascii="times new roman" w:hAnsi="times new roman"/>
          <w:b w:val="false"/>
          <w:bCs w:val="false"/>
          <w:i w:val="false"/>
          <w:iCs w:val="false"/>
          <w:lang w:val="en-US"/>
        </w:rPr>
        <w:t xml:space="preserve">For the fluid regions, and based in previous values of pressure and density, it solves respectively the equations </w:t>
      </w:r>
      <w:r>
        <w:rPr>
          <w:rFonts w:ascii="times new roman" w:hAnsi="times new roman"/>
          <w:b w:val="false"/>
          <w:bCs w:val="false"/>
          <w:i w:val="false"/>
          <w:iCs w:val="false"/>
          <w:lang w:val="en-US"/>
        </w:rPr>
        <w:t>related to</w:t>
      </w:r>
      <w:r>
        <w:rPr>
          <w:rFonts w:ascii="times new roman" w:hAnsi="times new roman"/>
          <w:b w:val="false"/>
          <w:bCs w:val="false"/>
          <w:i w:val="false"/>
          <w:iCs w:val="false"/>
          <w:lang w:val="en-US"/>
        </w:rPr>
        <w:t xml:space="preserve"> </w:t>
      </w:r>
      <w:r>
        <w:rPr>
          <w:rFonts w:ascii="times new roman" w:hAnsi="times new roman"/>
          <w:b w:val="false"/>
          <w:bCs w:val="false"/>
          <w:i w:val="false"/>
          <w:iCs w:val="false"/>
          <w:lang w:val="en-US"/>
        </w:rPr>
        <w:t>momentum</w:t>
      </w:r>
      <w:r>
        <w:rPr>
          <w:rFonts w:ascii="times new roman" w:hAnsi="times new roman"/>
          <w:b w:val="false"/>
          <w:bCs w:val="false"/>
          <w:i w:val="false"/>
          <w:iCs w:val="false"/>
          <w:lang w:val="en-US"/>
        </w:rPr>
        <w:t xml:space="preserve">, energy and </w:t>
      </w:r>
      <w:r>
        <w:rPr>
          <w:rFonts w:ascii="times new roman" w:hAnsi="times new roman"/>
          <w:b w:val="false"/>
          <w:bCs w:val="false"/>
          <w:i w:val="false"/>
          <w:iCs w:val="false"/>
          <w:lang w:val="en-US"/>
        </w:rPr>
        <w:t>pressure.</w:t>
      </w:r>
      <w:r>
        <w:rPr>
          <w:rFonts w:ascii="times new roman" w:hAnsi="times new roman"/>
          <w:b w:val="false"/>
          <w:bCs w:val="false"/>
          <w:i w:val="false"/>
          <w:iCs w:val="false"/>
          <w:lang w:val="en-US"/>
        </w:rPr>
        <w:t xml:space="preserve"> </w:t>
      </w:r>
      <w:r>
        <w:rPr>
          <w:rFonts w:ascii="times new roman" w:hAnsi="times new roman"/>
          <w:b w:val="false"/>
          <w:bCs w:val="false"/>
          <w:i w:val="false"/>
          <w:iCs w:val="false"/>
          <w:lang w:val="en-US"/>
        </w:rPr>
        <w:t>Differently from common numerical tools, the solver used, as all other solver</w:t>
      </w:r>
      <w:r>
        <w:rPr>
          <w:rFonts w:ascii="times new roman" w:hAnsi="times new roman"/>
          <w:b w:val="false"/>
          <w:bCs w:val="false"/>
          <w:i w:val="false"/>
          <w:iCs w:val="false"/>
          <w:lang w:val="en-US"/>
        </w:rPr>
        <w:t>s</w:t>
      </w:r>
      <w:r>
        <w:rPr>
          <w:rFonts w:ascii="times new roman" w:hAnsi="times new roman"/>
          <w:b w:val="false"/>
          <w:bCs w:val="false"/>
          <w:i w:val="false"/>
          <w:iCs w:val="false"/>
          <w:lang w:val="en-US"/>
        </w:rPr>
        <w:t xml:space="preserve"> available in OpenFOAM, allows equations assembly directly using objects including discretization methods. That said, the respective equations solved for the </w:t>
      </w:r>
      <w:r>
        <w:rPr>
          <w:rFonts w:ascii="times new roman" w:hAnsi="times new roman"/>
          <w:b w:val="false"/>
          <w:bCs w:val="false"/>
          <w:i w:val="false"/>
          <w:iCs w:val="false"/>
          <w:lang w:val="en-US"/>
        </w:rPr>
        <w:t>momentum</w:t>
      </w:r>
      <w:r>
        <w:rPr>
          <w:rFonts w:ascii="times new roman" w:hAnsi="times new roman"/>
          <w:b w:val="false"/>
          <w:bCs w:val="false"/>
          <w:i w:val="false"/>
          <w:iCs w:val="false"/>
          <w:lang w:val="en-US"/>
        </w:rPr>
        <w:t xml:space="preserve"> are:</w:t>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tabs>
          <w:tab w:val="center" w:pos="4986" w:leader="none"/>
          <w:tab w:val="right" w:pos="9972" w:leader="none"/>
        </w:tabs>
        <w:textAlignment w:val="center"/>
      </w:pPr>
      <w:r>
        <w:rPr>
          <w:rFonts w:ascii="times new roman" w:hAnsi="times new roman"/>
          <w:b w:val="false"/>
          <w:bCs w:val="false"/>
          <w:i w:val="false"/>
          <w:iCs w:val="false"/>
          <w:lang w:val="en-US"/>
        </w:rPr>
        <w:tab/>
      </w:r>
      <w:r>
        <w:rPr>
          <w:rFonts w:ascii="times new roman" w:hAnsi="times new roman"/>
          <w:b w:val="false"/>
          <w:bCs w:val="false"/>
          <w:i w:val="false"/>
          <w:iCs w:val="false"/>
          <w:lang w:val="en-US"/>
        </w:rPr>
        <mc:AlternateContent>
          <mc:Choice Requires="wps">
            <w:drawing>
              <wp:inline distT="0" distB="0" distL="0" distR="0">
                <wp:extent cx="4340225" cy="363220"/>
                <wp:effectExtent l="0" t="0" r="0" b="0"/>
                <wp:docPr id="1" name="Utermodifusivo" title="TexMaths" descr="12§display§\nabla \cdot (\rho \overline{U}\overline{U})&#10;- &#10;\nabla \cdot&#10;\bigg\{ \mu_{eff} \bigg[\bigg(&#10;\nabla \overline{U}&#10;+&#10;\nabla \overline{U}^T&#10;\bigg)&#10;-&#10;\frac{2}{3}&#10;\nabla \overline{U} I&#10;\bigg]\bigg\}&#10;=&#10;- \nabla p^*&#10;+&#10;G \rho&#10;§png§600§FALSE§Utermodifusivo"/>
                <a:graphic xmlns:a="http://schemas.openxmlformats.org/drawingml/2006/main">
                  <a:graphicData uri="http://schemas.openxmlformats.org/drawingml/2006/picture">
                    <pic:pic xmlns:pic="http://schemas.openxmlformats.org/drawingml/2006/picture">
                      <pic:nvPicPr>
                        <pic:cNvPr id="0" name="Utermodifusivo" descr="12§display§\nabla \cdot (\rho \overline{U}\overline{U})&#10;- &#10;\nabla \cdot&#10;\bigg\{ \mu_{eff} \bigg[\bigg(&#10;\nabla \overline{U}&#10;+&#10;\nabla \overline{U}^T&#10;\bigg)&#10;-&#10;\frac{2}{3}&#10;\nabla \overline{U} I&#10;\bigg]\bigg\}&#10;=&#10;- \nabla p^*&#10;+&#10;G \rho&#10;§png§600§FALSE§Utermodifusivo"/>
                        <pic:cNvPicPr/>
                      </pic:nvPicPr>
                      <pic:blipFill>
                        <a:blip r:embed="rId2"/>
                        <a:stretch/>
                      </pic:blipFill>
                      <pic:spPr>
                        <a:xfrm>
                          <a:off x="0" y="0"/>
                          <a:ext cx="4339440" cy="362520"/>
                        </a:xfrm>
                        <a:prstGeom prst="rect">
                          <a:avLst/>
                        </a:prstGeom>
                        <a:ln>
                          <a:noFill/>
                        </a:ln>
                      </pic:spPr>
                    </pic:pic>
                  </a:graphicData>
                </a:graphic>
              </wp:inline>
            </w:drawing>
          </mc:Choice>
          <mc:Fallback>
            <w:pict>
              <v:rect id="shape_0" ID="Utermodifusivo" stroked="f" style="position:absolute;margin-left:0pt;margin-top:-17.25pt;width:341.65pt;height:28.5pt">
                <v:imagedata r:id="rId3" o:detectmouseclick="t"/>
                <w10:wrap type="none"/>
                <v:stroke color="#3465a4" joinstyle="round" endcap="flat"/>
              </v:rect>
            </w:pict>
          </mc:Fallback>
        </mc:AlternateContent>
      </w:r>
      <w:r>
        <w:rPr>
          <w:rFonts w:ascii="times new roman" w:hAnsi="times new roman"/>
          <w:b w:val="false"/>
          <w:bCs w:val="false"/>
          <w:i w:val="false"/>
          <w:iCs w:val="false"/>
          <w:lang w:val="en-US"/>
        </w:rPr>
        <w:tab/>
        <w:t>(</w:t>
      </w:r>
      <w:r>
        <w:rPr>
          <w:rFonts w:ascii="times new roman" w:hAnsi="times new roman"/>
          <w:b w:val="false"/>
          <w:bCs w:val="false"/>
          <w:i w:val="false"/>
          <w:iCs w:val="false"/>
          <w:lang w:val="en-US"/>
        </w:rPr>
        <w:fldChar w:fldCharType="begin"/>
      </w:r>
      <w:r>
        <w:instrText> SEQ Equation \* ARABIC </w:instrText>
      </w:r>
      <w:r>
        <w:fldChar w:fldCharType="separate"/>
      </w:r>
      <w:r>
        <w:t>1</w:t>
      </w:r>
      <w:r>
        <w:fldChar w:fldCharType="end"/>
      </w:r>
      <w:r>
        <w:rPr>
          <w:rFonts w:ascii="times new roman" w:hAnsi="times new roman"/>
          <w:b w:val="false"/>
          <w:bCs w:val="false"/>
          <w:i w:val="false"/>
          <w:iCs w:val="false"/>
          <w:lang w:val="en-US"/>
        </w:rPr>
        <w:t>)</w:t>
      </w:r>
      <w:r/>
    </w:p>
    <w:p>
      <w:pPr>
        <w:pStyle w:val="Normal"/>
        <w:tabs>
          <w:tab w:val="center" w:pos="4986" w:leader="none"/>
          <w:tab w:val="right" w:pos="9972" w:leader="none"/>
        </w:tabs>
        <w:textAlignment w:val="center"/>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tabs>
          <w:tab w:val="center" w:pos="4986" w:leader="none"/>
          <w:tab w:val="right" w:pos="9972" w:leader="none"/>
        </w:tabs>
        <w:textAlignment w:val="center"/>
      </w:pPr>
      <w:r>
        <w:rPr>
          <w:rFonts w:ascii="times new roman" w:hAnsi="times new roman"/>
          <w:b w:val="false"/>
          <w:bCs w:val="false"/>
          <w:i w:val="false"/>
          <w:iCs w:val="false"/>
          <w:lang w:val="en-US"/>
        </w:rPr>
        <w:t>where</w:t>
      </w:r>
      <w:r>
        <w:rPr>
          <w:rFonts w:ascii="times new roman" w:hAnsi="times new roman"/>
          <w:b w:val="false"/>
          <w:bCs w:val="false"/>
          <w:i w:val="false"/>
          <w:iCs w:val="false"/>
          <w:lang w:val="en-US"/>
        </w:rPr>
        <w:t xml:space="preserve"> </w:t>
      </w:r>
      <w:r>
        <w:rPr>
          <w:rFonts w:ascii="times new roman" w:hAnsi="times new roman"/>
          <w:b w:val="false"/>
          <w:bCs w:val="false"/>
          <w:i w:val="false"/>
          <w:iCs w:val="false"/>
          <w:lang w:val="en-US"/>
        </w:rPr>
        <w:t xml:space="preserve">the </w:t>
      </w:r>
      <w:r>
        <w:rPr>
          <w:rFonts w:ascii="times new roman" w:hAnsi="times new roman"/>
          <w:b w:val="false"/>
          <w:bCs w:val="false"/>
          <w:i/>
          <w:iCs/>
          <w:lang w:val="en-US"/>
        </w:rPr>
        <w:t>μ</w:t>
      </w:r>
      <w:r>
        <w:rPr>
          <w:rFonts w:ascii="times new roman" w:hAnsi="times new roman"/>
          <w:b w:val="false"/>
          <w:bCs w:val="false"/>
          <w:i/>
          <w:iCs/>
          <w:vertAlign w:val="subscript"/>
          <w:lang w:val="en-US"/>
        </w:rPr>
        <w:t>eff</w:t>
      </w:r>
      <w:r>
        <w:rPr>
          <w:rFonts w:ascii="times new roman" w:hAnsi="times new roman"/>
          <w:b w:val="false"/>
          <w:bCs w:val="false"/>
          <w:i w:val="false"/>
          <w:iCs w:val="false"/>
          <w:lang w:val="en-US"/>
        </w:rPr>
        <w:t xml:space="preserve"> term is the effective dynamic viscosity, which is the sum of viscosity and turbulent viscosity. The </w:t>
      </w:r>
      <w:r>
        <w:rPr>
          <w:rFonts w:ascii="times new roman" w:hAnsi="times new roman"/>
          <w:b w:val="false"/>
          <w:bCs w:val="false"/>
          <w:i/>
          <w:iCs/>
          <w:lang w:val="en-US"/>
        </w:rPr>
        <w:t>Gρ</w:t>
      </w:r>
      <w:r>
        <w:rPr>
          <w:rFonts w:ascii="times new roman" w:hAnsi="times new roman"/>
          <w:b w:val="false"/>
          <w:bCs w:val="false"/>
          <w:i/>
          <w:iCs/>
          <w:lang w:val="en-US"/>
        </w:rPr>
        <w:t xml:space="preserve"> </w:t>
      </w:r>
      <w:r>
        <w:rPr>
          <w:rFonts w:ascii="times new roman" w:hAnsi="times new roman"/>
          <w:b w:val="false"/>
          <w:bCs w:val="false"/>
          <w:i w:val="false"/>
          <w:iCs w:val="false"/>
          <w:lang w:val="en-US"/>
        </w:rPr>
        <w:t>term comes from a</w:t>
      </w:r>
      <w:r>
        <w:rPr>
          <w:rFonts w:ascii="times new roman" w:hAnsi="times new roman"/>
          <w:b w:val="false"/>
          <w:bCs w:val="false"/>
          <w:i w:val="false"/>
          <w:iCs w:val="false"/>
          <w:lang w:val="en-US"/>
        </w:rPr>
        <w:t xml:space="preserve"> buoyancy adjustment.</w:t>
      </w:r>
      <w:r/>
    </w:p>
    <w:p>
      <w:pPr>
        <w:pStyle w:val="Normal"/>
        <w:tabs>
          <w:tab w:val="center" w:pos="4986" w:leader="none"/>
          <w:tab w:val="right" w:pos="9972" w:leader="none"/>
        </w:tabs>
        <w:textAlignment w:val="center"/>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tabs>
          <w:tab w:val="center" w:pos="4986" w:leader="none"/>
          <w:tab w:val="right" w:pos="9972" w:leader="none"/>
        </w:tabs>
        <w:textAlignment w:val="center"/>
      </w:pPr>
      <w:r>
        <w:rPr>
          <w:rFonts w:ascii="times new roman" w:hAnsi="times new roman"/>
          <w:b w:val="false"/>
          <w:bCs w:val="false"/>
          <w:i w:val="false"/>
          <w:iCs w:val="false"/>
          <w:lang w:val="en-US"/>
        </w:rPr>
        <w:t xml:space="preserve">The energy equation </w:t>
      </w:r>
      <w:r>
        <w:rPr>
          <w:rFonts w:ascii="times new roman" w:hAnsi="times new roman"/>
          <w:b w:val="false"/>
          <w:bCs w:val="false"/>
          <w:i w:val="false"/>
          <w:iCs w:val="false"/>
          <w:lang w:val="en-US"/>
        </w:rPr>
        <w:t>is implemented in a flexible way, allowing for calculations using enthalpy or internal energy. In this work enthalpy is used and the energy equation is described accordingly:</w:t>
      </w:r>
      <w:r/>
    </w:p>
    <w:p>
      <w:pPr>
        <w:pStyle w:val="Normal"/>
        <w:tabs>
          <w:tab w:val="center" w:pos="4986" w:leader="none"/>
          <w:tab w:val="right" w:pos="9972" w:leader="none"/>
        </w:tabs>
        <w:textAlignment w:val="center"/>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tabs>
          <w:tab w:val="center" w:pos="4986" w:leader="none"/>
          <w:tab w:val="right" w:pos="9972" w:leader="none"/>
        </w:tabs>
        <w:textAlignment w:val="center"/>
      </w:pPr>
      <w:r>
        <w:rPr>
          <w:rFonts w:ascii="times new roman" w:hAnsi="times new roman"/>
          <w:b w:val="false"/>
          <w:bCs w:val="false"/>
          <w:i w:val="false"/>
          <w:iCs w:val="false"/>
          <w:lang w:val="en-US"/>
        </w:rPr>
        <w:tab/>
      </w:r>
      <w:r>
        <w:rPr>
          <w:rFonts w:ascii="times new roman" w:hAnsi="times new roman"/>
          <w:b w:val="false"/>
          <w:bCs w:val="false"/>
          <w:i w:val="false"/>
          <w:iCs w:val="false"/>
          <w:lang w:val="en-US"/>
        </w:rPr>
        <mc:AlternateContent>
          <mc:Choice Requires="wps">
            <w:drawing>
              <wp:inline distT="0" distB="0" distL="0" distR="0">
                <wp:extent cx="2225040" cy="351155"/>
                <wp:effectExtent l="0" t="0" r="0" b="0"/>
                <wp:docPr id="2" name="Energy Equation" title="TexMaths" descr="12§display§\nabla \phi . h +&#10;\nabla . \phi \frac{\left|{U}\right|^2}{2} -&#10;\nabla . \alpha_{eff} \nabla h = &#10;0§png§600§FALSE§Energy Equation"/>
                <a:graphic xmlns:a="http://schemas.openxmlformats.org/drawingml/2006/main">
                  <a:graphicData uri="http://schemas.openxmlformats.org/drawingml/2006/picture">
                    <pic:pic xmlns:pic="http://schemas.openxmlformats.org/drawingml/2006/picture">
                      <pic:nvPicPr>
                        <pic:cNvPr id="1" name="Energy Equation" descr="12§display§\nabla \phi . h +&#10;\nabla . \phi \frac{\left|{U}\right|^2}{2} -&#10;\nabla . \alpha_{eff} \nabla h = &#10;0§png§600§FALSE§Energy Equation"/>
                        <pic:cNvPicPr/>
                      </pic:nvPicPr>
                      <pic:blipFill>
                        <a:blip r:embed="rId4"/>
                        <a:stretch/>
                      </pic:blipFill>
                      <pic:spPr>
                        <a:xfrm>
                          <a:off x="0" y="0"/>
                          <a:ext cx="2224440" cy="350640"/>
                        </a:xfrm>
                        <a:prstGeom prst="rect">
                          <a:avLst/>
                        </a:prstGeom>
                        <a:ln>
                          <a:noFill/>
                        </a:ln>
                      </pic:spPr>
                    </pic:pic>
                  </a:graphicData>
                </a:graphic>
              </wp:inline>
            </w:drawing>
          </mc:Choice>
          <mc:Fallback>
            <w:pict>
              <v:rect id="shape_0" ID="Energy Equation" stroked="f" style="position:absolute;margin-left:0pt;margin-top:-19.4pt;width:175.1pt;height:27.55pt">
                <v:imagedata r:id="rId5" o:detectmouseclick="t"/>
                <w10:wrap type="none"/>
                <v:stroke color="#3465a4" joinstyle="round" endcap="flat"/>
              </v:rect>
            </w:pict>
          </mc:Fallback>
        </mc:AlternateContent>
      </w:r>
      <w:r>
        <w:rPr>
          <w:rFonts w:ascii="times new roman" w:hAnsi="times new roman"/>
          <w:b w:val="false"/>
          <w:bCs w:val="false"/>
          <w:i w:val="false"/>
          <w:iCs w:val="false"/>
          <w:lang w:val="en-US"/>
        </w:rPr>
        <w:tab/>
        <w:t>(</w:t>
      </w:r>
      <w:r>
        <w:rPr>
          <w:rFonts w:ascii="times new roman" w:hAnsi="times new roman"/>
          <w:b w:val="false"/>
          <w:bCs w:val="false"/>
          <w:i w:val="false"/>
          <w:iCs w:val="false"/>
          <w:lang w:val="en-US"/>
        </w:rPr>
        <w:fldChar w:fldCharType="begin"/>
      </w:r>
      <w:r>
        <w:instrText> SEQ Equation \* ARABIC </w:instrText>
      </w:r>
      <w:r>
        <w:fldChar w:fldCharType="separate"/>
      </w:r>
      <w:r>
        <w:t>2</w:t>
      </w:r>
      <w:r>
        <w:fldChar w:fldCharType="end"/>
      </w:r>
      <w:r>
        <w:rPr>
          <w:rFonts w:ascii="times new roman" w:hAnsi="times new roman"/>
          <w:b w:val="false"/>
          <w:bCs w:val="false"/>
          <w:i w:val="false"/>
          <w:iCs w:val="false"/>
          <w:lang w:val="en-US"/>
        </w:rPr>
        <w:t>)</w:t>
      </w:r>
      <w:r/>
    </w:p>
    <w:p>
      <w:pPr>
        <w:pStyle w:val="Normal"/>
        <w:tabs>
          <w:tab w:val="center" w:pos="4986" w:leader="none"/>
          <w:tab w:val="right" w:pos="9972" w:leader="none"/>
        </w:tabs>
        <w:textAlignment w:val="center"/>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tabs>
          <w:tab w:val="center" w:pos="4986" w:leader="none"/>
          <w:tab w:val="right" w:pos="9972" w:leader="none"/>
        </w:tabs>
        <w:textAlignment w:val="center"/>
      </w:pPr>
      <w:r>
        <w:rPr>
          <w:rFonts w:ascii="times new roman" w:hAnsi="times new roman"/>
          <w:b w:val="false"/>
          <w:bCs w:val="false"/>
          <w:i w:val="false"/>
          <w:iCs w:val="false"/>
          <w:lang w:val="en-US"/>
        </w:rPr>
        <w:t xml:space="preserve">where the second therm is the contribution from kinetic energy and the third therm accounts for the heat flux, being </w:t>
      </w:r>
      <w:r>
        <w:rPr>
          <w:rFonts w:ascii="times new roman" w:hAnsi="times new roman"/>
          <w:b w:val="false"/>
          <w:bCs w:val="false"/>
          <w:i/>
          <w:iCs/>
          <w:lang w:val="en-US"/>
        </w:rPr>
        <w:t>α</w:t>
      </w:r>
      <w:r>
        <w:rPr>
          <w:rFonts w:ascii="times new roman" w:hAnsi="times new roman"/>
          <w:b w:val="false"/>
          <w:bCs w:val="false"/>
          <w:i/>
          <w:iCs/>
          <w:vertAlign w:val="subscript"/>
          <w:lang w:val="en-US"/>
        </w:rPr>
        <w:t>eff</w:t>
      </w:r>
      <w:r>
        <w:rPr>
          <w:rFonts w:ascii="times new roman" w:hAnsi="times new roman"/>
          <w:b w:val="false"/>
          <w:bCs w:val="false"/>
          <w:i w:val="false"/>
          <w:iCs w:val="false"/>
          <w:lang w:val="en-US"/>
        </w:rPr>
        <w:t xml:space="preserve"> is the sum of laminar and turbulent thermal diffusivities. </w:t>
      </w:r>
      <w:r>
        <w:rPr>
          <w:rFonts w:ascii="times new roman" w:hAnsi="times new roman"/>
          <w:b w:val="false"/>
          <w:bCs w:val="false"/>
          <w:i w:val="false"/>
          <w:iCs w:val="false"/>
          <w:lang w:val="en-US"/>
        </w:rPr>
        <w:t xml:space="preserve">It is worth noting that the velocities field is previously calculated as the equations are implemented in a specific order. The next equation to be described is the so-called continuity equation. </w:t>
      </w:r>
      <w:r/>
    </w:p>
    <w:p>
      <w:pPr>
        <w:pStyle w:val="Normal"/>
        <w:tabs>
          <w:tab w:val="center" w:pos="4986" w:leader="none"/>
          <w:tab w:val="right" w:pos="9972" w:leader="none"/>
        </w:tabs>
        <w:textAlignment w:val="center"/>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tabs>
          <w:tab w:val="center" w:pos="4986" w:leader="none"/>
          <w:tab w:val="right" w:pos="9972" w:leader="none"/>
        </w:tabs>
        <w:textAlignment w:val="center"/>
      </w:pPr>
      <w:r>
        <w:rPr>
          <w:rFonts w:ascii="times new roman" w:hAnsi="times new roman"/>
          <w:b w:val="false"/>
          <w:bCs w:val="false"/>
          <w:i w:val="false"/>
          <w:iCs w:val="false"/>
          <w:lang w:val="en-US"/>
        </w:rPr>
        <w:tab/>
      </w:r>
      <w:r>
        <w:rPr>
          <w:rFonts w:ascii="times new roman" w:hAnsi="times new roman"/>
          <w:b w:val="false"/>
          <w:bCs w:val="false"/>
          <w:i w:val="false"/>
          <w:iCs w:val="false"/>
          <w:lang w:val="en-US"/>
        </w:rPr>
        <mc:AlternateContent>
          <mc:Choice Requires="wps">
            <w:drawing>
              <wp:inline distT="0" distB="0" distL="0" distR="0">
                <wp:extent cx="633730" cy="160655"/>
                <wp:effectExtent l="0" t="0" r="0" b="0"/>
                <wp:docPr id="3" name="" title="TexMaths" descr="12§display§\nabla . \rho \bar{V} = 0&#10;§png§600§FALSE§"/>
                <a:graphic xmlns:a="http://schemas.openxmlformats.org/drawingml/2006/main">
                  <a:graphicData uri="http://schemas.openxmlformats.org/drawingml/2006/picture">
                    <pic:pic xmlns:pic="http://schemas.openxmlformats.org/drawingml/2006/picture">
                      <pic:nvPicPr>
                        <pic:cNvPr id="2" name="" descr="12§display§\nabla . \rho \bar{V} = 0&#10;§png§600§FALSE§"/>
                        <pic:cNvPicPr/>
                      </pic:nvPicPr>
                      <pic:blipFill>
                        <a:blip r:embed="rId6"/>
                        <a:stretch/>
                      </pic:blipFill>
                      <pic:spPr>
                        <a:xfrm>
                          <a:off x="0" y="0"/>
                          <a:ext cx="633240" cy="160200"/>
                        </a:xfrm>
                        <a:prstGeom prst="rect">
                          <a:avLst/>
                        </a:prstGeom>
                        <a:ln>
                          <a:noFill/>
                        </a:ln>
                      </pic:spPr>
                    </pic:pic>
                  </a:graphicData>
                </a:graphic>
              </wp:inline>
            </w:drawing>
          </mc:Choice>
          <mc:Fallback>
            <w:pict>
              <v:rect id="shape_0" stroked="f" style="position:absolute;margin-left:0pt;margin-top:-10.2pt;width:49.8pt;height:12.55pt">
                <v:imagedata r:id="rId7" o:detectmouseclick="t"/>
                <w10:wrap type="none"/>
                <v:stroke color="#3465a4" joinstyle="round" endcap="flat"/>
              </v:rect>
            </w:pict>
          </mc:Fallback>
        </mc:AlternateContent>
      </w:r>
      <w:r>
        <w:rPr>
          <w:rFonts w:ascii="times new roman" w:hAnsi="times new roman"/>
          <w:b w:val="false"/>
          <w:bCs w:val="false"/>
          <w:i w:val="false"/>
          <w:iCs w:val="false"/>
          <w:lang w:val="en-US"/>
        </w:rPr>
        <w:tab/>
        <w:t>(</w:t>
      </w:r>
      <w:r>
        <w:rPr>
          <w:rFonts w:ascii="times new roman" w:hAnsi="times new roman"/>
          <w:b w:val="false"/>
          <w:bCs w:val="false"/>
          <w:i w:val="false"/>
          <w:iCs w:val="false"/>
          <w:lang w:val="en-US"/>
        </w:rPr>
        <w:fldChar w:fldCharType="begin"/>
      </w:r>
      <w:r>
        <w:instrText> SEQ Equation \* ARABIC </w:instrText>
      </w:r>
      <w:r>
        <w:fldChar w:fldCharType="separate"/>
      </w:r>
      <w:r>
        <w:t>3</w:t>
      </w:r>
      <w:r>
        <w:fldChar w:fldCharType="end"/>
      </w:r>
      <w:r>
        <w:rPr>
          <w:rFonts w:ascii="times new roman" w:hAnsi="times new roman"/>
          <w:b w:val="false"/>
          <w:bCs w:val="false"/>
          <w:i w:val="false"/>
          <w:iCs w:val="false"/>
          <w:lang w:val="en-US"/>
        </w:rPr>
        <w:t>)</w:t>
      </w:r>
      <w:r/>
    </w:p>
    <w:p>
      <w:pPr>
        <w:pStyle w:val="Normal"/>
        <w:tabs>
          <w:tab w:val="center" w:pos="4986" w:leader="none"/>
          <w:tab w:val="right" w:pos="9972" w:leader="none"/>
        </w:tabs>
        <w:textAlignment w:val="center"/>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tabs>
          <w:tab w:val="center" w:pos="4986" w:leader="none"/>
          <w:tab w:val="right" w:pos="9972" w:leader="none"/>
        </w:tabs>
        <w:textAlignment w:val="center"/>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t xml:space="preserve">The transient term is not present for the steady-state problem and the continuity is assured when the divergent of momentum is zero. </w:t>
      </w:r>
      <w:r/>
    </w:p>
    <w:p>
      <w:pPr>
        <w:pStyle w:val="Normal"/>
        <w:tabs>
          <w:tab w:val="center" w:pos="4986" w:leader="none"/>
          <w:tab w:val="right" w:pos="9972" w:leader="none"/>
        </w:tabs>
        <w:textAlignment w:val="center"/>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tabs>
          <w:tab w:val="center" w:pos="4986" w:leader="none"/>
          <w:tab w:val="right" w:pos="9972" w:leader="none"/>
        </w:tabs>
        <w:textAlignment w:val="center"/>
      </w:pPr>
      <w:r>
        <w:rPr>
          <w:rFonts w:ascii="times new roman" w:hAnsi="times new roman"/>
          <w:b w:val="false"/>
          <w:bCs w:val="false"/>
          <w:i w:val="false"/>
          <w:iCs w:val="false"/>
          <w:lang w:val="en-US"/>
        </w:rPr>
        <w:t xml:space="preserve">OpenFOAM </w:t>
      </w:r>
      <w:r>
        <w:rPr>
          <w:rFonts w:ascii="times new roman" w:hAnsi="times new roman"/>
          <w:b w:val="false"/>
          <w:bCs w:val="false"/>
          <w:i w:val="false"/>
          <w:iCs w:val="false"/>
          <w:lang w:val="en-US"/>
        </w:rPr>
        <w:t>has its own particular way of coupling pressure to velocity (citar Karrolhm) which is beyond the scope of this text.</w:t>
      </w:r>
      <w:r/>
    </w:p>
    <w:p>
      <w:pPr>
        <w:pStyle w:val="Normal"/>
        <w:tabs>
          <w:tab w:val="center" w:pos="4986" w:leader="none"/>
          <w:tab w:val="right" w:pos="9972" w:leader="none"/>
        </w:tabs>
        <w:textAlignment w:val="center"/>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tabs>
          <w:tab w:val="center" w:pos="4986" w:leader="none"/>
          <w:tab w:val="right" w:pos="9972" w:leader="none"/>
        </w:tabs>
        <w:textAlignment w:val="center"/>
        <w:rPr>
          <w:i w:val="false"/>
          <w:b w:val="false"/>
          <w:shd w:fill="FFFF00" w:val="clear"/>
          <w:i w:val="false"/>
          <w:b w:val="false"/>
          <w:iCs w:val="false"/>
          <w:bCs w:val="false"/>
          <w:rFonts w:ascii="times new roman" w:hAnsi="times new roman"/>
          <w:lang w:val="en-US"/>
        </w:rPr>
      </w:pPr>
      <w:r>
        <w:rPr>
          <w:rFonts w:ascii="times new roman" w:hAnsi="times new roman"/>
          <w:b w:val="false"/>
          <w:bCs w:val="false"/>
          <w:i w:val="false"/>
          <w:iCs w:val="false"/>
          <w:shd w:fill="FFFF00" w:val="clear"/>
          <w:lang w:val="en-US"/>
        </w:rPr>
        <w:t>FIGURA do ALGORITMO</w:t>
      </w:r>
      <w:r/>
    </w:p>
    <w:p>
      <w:pPr>
        <w:pStyle w:val="Normal"/>
        <w:tabs>
          <w:tab w:val="center" w:pos="4986" w:leader="none"/>
          <w:tab w:val="right" w:pos="9972" w:leader="none"/>
        </w:tabs>
        <w:textAlignment w:val="center"/>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t>2.2 Neutronics</w:t>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pPr>
      <w:r>
        <w:rPr>
          <w:rFonts w:ascii="times new roman" w:hAnsi="times new roman"/>
          <w:b w:val="false"/>
          <w:bCs w:val="false"/>
          <w:i w:val="false"/>
          <w:iCs w:val="false"/>
          <w:lang w:val="en-US"/>
        </w:rPr>
        <w:t xml:space="preserve">The </w:t>
      </w:r>
      <w:r>
        <w:rPr>
          <w:rFonts w:ascii="times new roman" w:hAnsi="times new roman"/>
          <w:b w:val="false"/>
          <w:bCs w:val="false"/>
          <w:i/>
          <w:iCs/>
          <w:lang w:val="en-US"/>
        </w:rPr>
        <w:t>milonga</w:t>
      </w:r>
      <w:r>
        <w:rPr>
          <w:rFonts w:ascii="times new roman" w:hAnsi="times new roman"/>
          <w:b w:val="false"/>
          <w:bCs w:val="false"/>
          <w:i w:val="false"/>
          <w:iCs w:val="false"/>
          <w:lang w:val="en-US"/>
        </w:rPr>
        <w:t xml:space="preserve"> nuclear code </w:t>
      </w:r>
      <w:r>
        <w:rPr>
          <w:rFonts w:ascii="times new roman" w:hAnsi="times new roman"/>
          <w:b w:val="false"/>
          <w:bCs w:val="false"/>
          <w:i w:val="false"/>
          <w:iCs w:val="false"/>
          <w:lang w:val="en-US"/>
        </w:rPr>
        <w:t xml:space="preserve">is an open software released under GNU license. It heavily relies on other well known GNU libraries, like PETSc (citar), SLEPc (citar) and GNU Scientific Library (citar), bringing to it the robustness of these established software and keeping the principles of freedom of software use that GNU enforces. It </w:t>
      </w:r>
      <w:r>
        <w:rPr>
          <w:rFonts w:ascii="times new roman" w:hAnsi="times new roman"/>
          <w:b w:val="false"/>
          <w:bCs w:val="false"/>
          <w:i w:val="false"/>
          <w:iCs w:val="false"/>
          <w:lang w:val="en-US"/>
        </w:rPr>
        <w:t xml:space="preserve">solves the steady-state multi-group neutron transport equation, either using the diffusion approximation or discrete ordinates </w:t>
      </w:r>
      <w:r>
        <w:rPr>
          <w:rFonts w:ascii="times new roman" w:hAnsi="times new roman"/>
          <w:b w:val="false"/>
          <w:bCs w:val="false"/>
          <w:i/>
          <w:iCs/>
          <w:lang w:val="en-US"/>
        </w:rPr>
        <w:t>Sn</w:t>
      </w:r>
      <w:r>
        <w:rPr>
          <w:rFonts w:ascii="times new roman" w:hAnsi="times new roman"/>
          <w:b w:val="false"/>
          <w:bCs w:val="false"/>
          <w:i w:val="false"/>
          <w:iCs w:val="false"/>
          <w:lang w:val="en-US"/>
        </w:rPr>
        <w:t xml:space="preserve"> method. Its ability to use finite-volumes discretization schemes over unstructured grids makes </w:t>
      </w:r>
      <w:r>
        <w:rPr>
          <w:rFonts w:ascii="times new roman" w:hAnsi="times new roman"/>
          <w:b w:val="false"/>
          <w:bCs w:val="false"/>
          <w:i w:val="false"/>
          <w:iCs w:val="false"/>
          <w:lang w:val="en-US"/>
        </w:rPr>
        <w:t xml:space="preserve">it </w:t>
      </w:r>
      <w:r>
        <w:rPr>
          <w:rFonts w:ascii="times new roman" w:hAnsi="times new roman"/>
          <w:b w:val="false"/>
          <w:bCs w:val="false"/>
          <w:i w:val="false"/>
          <w:iCs w:val="false"/>
          <w:lang w:val="en-US"/>
        </w:rPr>
        <w:t xml:space="preserve">possible, </w:t>
      </w:r>
      <w:r>
        <w:rPr>
          <w:rFonts w:ascii="times new roman" w:hAnsi="times new roman"/>
          <w:b w:val="false"/>
          <w:bCs w:val="false"/>
          <w:i w:val="false"/>
          <w:iCs w:val="false"/>
          <w:lang w:val="en-US"/>
        </w:rPr>
        <w:t>regarding the present problem,</w:t>
      </w:r>
      <w:r>
        <w:rPr>
          <w:rFonts w:ascii="times new roman" w:hAnsi="times new roman"/>
          <w:b w:val="false"/>
          <w:bCs w:val="false"/>
          <w:i w:val="false"/>
          <w:iCs w:val="false"/>
          <w:lang w:val="en-US"/>
        </w:rPr>
        <w:t xml:space="preserve"> to have the same mesh for both thermal-hydraulics and neutronics. With identical meshes, the dependency between fields in each tool can be solved with the same degree of detail. </w:t>
      </w:r>
      <w:r>
        <w:rPr>
          <w:rFonts w:ascii="times new roman" w:hAnsi="times new roman"/>
          <w:b w:val="false"/>
          <w:bCs w:val="false"/>
          <w:i w:val="false"/>
          <w:iCs w:val="false"/>
          <w:lang w:val="en-US"/>
        </w:rPr>
        <w:t xml:space="preserve">Despite the inaccurate results and limitations of the diffusion approximation under some circumstances (citar Travis_Tranjan_2014), it is the method used in this work due to its faster execution time compared to the </w:t>
      </w:r>
      <w:r>
        <w:rPr>
          <w:rFonts w:ascii="times new roman" w:hAnsi="times new roman"/>
          <w:b w:val="false"/>
          <w:bCs w:val="false"/>
          <w:i/>
          <w:iCs/>
          <w:lang w:val="en-US"/>
        </w:rPr>
        <w:t>Sn</w:t>
      </w:r>
      <w:r>
        <w:rPr>
          <w:rFonts w:ascii="times new roman" w:hAnsi="times new roman"/>
          <w:b w:val="false"/>
          <w:bCs w:val="false"/>
          <w:i w:val="false"/>
          <w:iCs w:val="false"/>
          <w:lang w:val="en-US"/>
        </w:rPr>
        <w:t xml:space="preserve"> method. Moreover, with a proof-of-concept methodology in mind, any changes in power and flux calculations can be observed using the diffusion approximation for steady-state: </w:t>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jc w:val="left"/>
        <w:textAlignment w:val="center"/>
      </w:pPr>
      <w:r>
        <w:rPr>
          <w:rFonts w:ascii="times new roman" w:hAnsi="times new roman"/>
          <w:b w:val="false"/>
          <w:bCs w:val="false"/>
          <w:i w:val="false"/>
          <w:iCs w:val="false"/>
          <w:lang w:val="en-US"/>
        </w:rPr>
        <mc:AlternateContent>
          <mc:Choice Requires="wps">
            <w:drawing>
              <wp:inline distT="0" distB="0" distL="0" distR="0">
                <wp:extent cx="3016250" cy="183515"/>
                <wp:effectExtent l="0" t="0" r="0" b="0"/>
                <wp:docPr id="4" name="" title="TexMaths" descr="12§display§0 = \nabla . \big[D(x,E) \nabla[\phi(x,E)] \big]&#10;- \Sigma_t(x,E).\phi(x,E)&#10;§png§600§FALSE§"/>
                <a:graphic xmlns:a="http://schemas.openxmlformats.org/drawingml/2006/main">
                  <a:graphicData uri="http://schemas.openxmlformats.org/drawingml/2006/picture">
                    <pic:pic xmlns:pic="http://schemas.openxmlformats.org/drawingml/2006/picture">
                      <pic:nvPicPr>
                        <pic:cNvPr id="3" name="" descr="12§display§0 = \nabla . \big[D(x,E) \nabla[\phi(x,E)] \big]&#10;- \Sigma_t(x,E).\phi(x,E)&#10;§png§600§FALSE§"/>
                        <pic:cNvPicPr/>
                      </pic:nvPicPr>
                      <pic:blipFill>
                        <a:blip r:embed="rId8"/>
                        <a:stretch/>
                      </pic:blipFill>
                      <pic:spPr>
                        <a:xfrm>
                          <a:off x="0" y="0"/>
                          <a:ext cx="3015720" cy="182880"/>
                        </a:xfrm>
                        <a:prstGeom prst="rect">
                          <a:avLst/>
                        </a:prstGeom>
                        <a:ln>
                          <a:noFill/>
                        </a:ln>
                      </pic:spPr>
                    </pic:pic>
                  </a:graphicData>
                </a:graphic>
              </wp:inline>
            </w:drawing>
          </mc:Choice>
          <mc:Fallback>
            <w:pict>
              <v:rect id="shape_0" stroked="f" style="position:absolute;margin-left:0pt;margin-top:-10.2pt;width:237.4pt;height:14.35pt">
                <v:imagedata r:id="rId9" o:detectmouseclick="t"/>
                <w10:wrap type="none"/>
                <v:stroke color="#3465a4" joinstyle="round" endcap="flat"/>
              </v:rect>
            </w:pict>
          </mc:Fallback>
        </mc:AlternateContent>
      </w:r>
      <w:r/>
    </w:p>
    <w:p>
      <w:pPr>
        <w:pStyle w:val="Normal"/>
        <w:jc w:val="center"/>
        <w:textAlignment w:val="center"/>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tabs>
          <w:tab w:val="center" w:pos="4986" w:leader="none"/>
          <w:tab w:val="right" w:pos="9972" w:leader="none"/>
        </w:tabs>
        <w:textAlignment w:val="center"/>
      </w:pPr>
      <w:r>
        <w:rPr>
          <w:rFonts w:ascii="times new roman" w:hAnsi="times new roman"/>
          <w:b w:val="false"/>
          <w:bCs w:val="false"/>
          <w:i w:val="false"/>
          <w:iCs w:val="false"/>
          <w:lang w:val="en-US"/>
        </w:rPr>
        <w:tab/>
      </w:r>
      <w:r>
        <w:rPr>
          <w:rFonts w:ascii="times new roman" w:hAnsi="times new roman"/>
          <w:b w:val="false"/>
          <w:bCs w:val="false"/>
          <w:i w:val="false"/>
          <w:iCs w:val="false"/>
          <w:lang w:val="en-US"/>
        </w:rPr>
        <mc:AlternateContent>
          <mc:Choice Requires="wps">
            <w:drawing>
              <wp:inline distT="0" distB="0" distL="0" distR="0">
                <wp:extent cx="3664585" cy="365125"/>
                <wp:effectExtent l="0" t="0" r="0" b="0"/>
                <wp:docPr id="5" name="" title="TexMaths" descr="12§display§+ \int_{0}^{\infty} \Sigma_{s}(x,E')dE'&#10;+ \chi(E) \int_{0}^{\infty} \frac{\nu \Sigma_f(x,E')}{k_{eff}} . \phi(x,E')dE'§png§600§FALSE§"/>
                <a:graphic xmlns:a="http://schemas.openxmlformats.org/drawingml/2006/main">
                  <a:graphicData uri="http://schemas.openxmlformats.org/drawingml/2006/picture">
                    <pic:pic xmlns:pic="http://schemas.openxmlformats.org/drawingml/2006/picture">
                      <pic:nvPicPr>
                        <pic:cNvPr id="4" name="" descr="12§display§+ \int_{0}^{\infty} \Sigma_{s}(x,E')dE'&#10;+ \chi(E) \int_{0}^{\infty} \frac{\nu \Sigma_f(x,E')}{k_{eff}} . \phi(x,E')dE'§png§600§FALSE§"/>
                        <pic:cNvPicPr/>
                      </pic:nvPicPr>
                      <pic:blipFill>
                        <a:blip r:embed="rId10"/>
                        <a:stretch/>
                      </pic:blipFill>
                      <pic:spPr>
                        <a:xfrm>
                          <a:off x="0" y="0"/>
                          <a:ext cx="3664080" cy="364320"/>
                        </a:xfrm>
                        <a:prstGeom prst="rect">
                          <a:avLst/>
                        </a:prstGeom>
                        <a:ln>
                          <a:noFill/>
                        </a:ln>
                      </pic:spPr>
                    </pic:pic>
                  </a:graphicData>
                </a:graphic>
              </wp:inline>
            </w:drawing>
          </mc:Choice>
          <mc:Fallback>
            <w:pict>
              <v:rect id="shape_0" stroked="f" style="position:absolute;margin-left:0pt;margin-top:-17.05pt;width:288.45pt;height:28.65pt">
                <v:imagedata r:id="rId11" o:detectmouseclick="t"/>
                <w10:wrap type="none"/>
                <v:stroke color="#3465a4" joinstyle="round" endcap="flat"/>
              </v:rect>
            </w:pict>
          </mc:Fallback>
        </mc:AlternateContent>
      </w:r>
      <w:r>
        <w:rPr>
          <w:rFonts w:ascii="times new roman" w:hAnsi="times new roman"/>
          <w:b w:val="false"/>
          <w:bCs w:val="false"/>
          <w:i w:val="false"/>
          <w:iCs w:val="false"/>
          <w:lang w:val="en-US"/>
        </w:rPr>
        <w:tab/>
        <w:t>(</w:t>
      </w:r>
      <w:r>
        <w:rPr>
          <w:rFonts w:ascii="times new roman" w:hAnsi="times new roman"/>
          <w:b w:val="false"/>
          <w:bCs w:val="false"/>
          <w:i w:val="false"/>
          <w:iCs w:val="false"/>
          <w:lang w:val="en-US"/>
        </w:rPr>
        <w:fldChar w:fldCharType="begin"/>
      </w:r>
      <w:r>
        <w:instrText> SEQ Equation \* ARABIC </w:instrText>
      </w:r>
      <w:r>
        <w:fldChar w:fldCharType="separate"/>
      </w:r>
      <w:r>
        <w:t>4</w:t>
      </w:r>
      <w:r>
        <w:fldChar w:fldCharType="end"/>
      </w:r>
      <w:r>
        <w:rPr>
          <w:rFonts w:ascii="times new roman" w:hAnsi="times new roman"/>
          <w:b w:val="false"/>
          <w:bCs w:val="false"/>
          <w:i w:val="false"/>
          <w:iCs w:val="false"/>
          <w:lang w:val="en-US"/>
        </w:rPr>
        <w:t>)</w:t>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t>Equation 4 is discretized using the chosen formulation, finite volumes in the present case. Despite the cross-sections dependence on temperatures, the diffusion equation can be formulated as linear since the coefficients are kept constant during each step in the iterative calculation.</w:t>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pPr>
      <w:r>
        <w:rPr>
          <w:rFonts w:ascii="times new roman" w:hAnsi="times new roman"/>
          <w:b w:val="false"/>
          <w:bCs w:val="false"/>
          <w:i w:val="false"/>
          <w:iCs w:val="false"/>
          <w:lang w:val="en-US"/>
        </w:rPr>
        <w:t xml:space="preserve">In a stand-alone case, </w:t>
      </w:r>
      <w:r>
        <w:rPr>
          <w:rFonts w:ascii="times new roman" w:hAnsi="times new roman"/>
          <w:b w:val="false"/>
          <w:bCs w:val="false"/>
          <w:i/>
          <w:iCs/>
          <w:lang w:val="en-US"/>
        </w:rPr>
        <w:t>milonga</w:t>
      </w:r>
      <w:r>
        <w:rPr>
          <w:rFonts w:ascii="times new roman" w:hAnsi="times new roman"/>
          <w:b w:val="false"/>
          <w:bCs w:val="false"/>
          <w:i w:val="false"/>
          <w:iCs w:val="false"/>
          <w:lang w:val="en-US"/>
        </w:rPr>
        <w:t xml:space="preserve"> works reading an input file which models the problem to be solved. The simplest case for the present problem consists in the basic problem configuration: read the mesh, define the numerical formulation </w:t>
      </w:r>
      <w:r>
        <w:rPr>
          <w:rFonts w:ascii="times new roman" w:hAnsi="times new roman"/>
          <w:b w:val="false"/>
          <w:bCs w:val="false"/>
          <w:i w:val="false"/>
          <w:iCs w:val="false"/>
          <w:lang w:val="en-US"/>
        </w:rPr>
        <w:t>and</w:t>
      </w:r>
      <w:r>
        <w:rPr>
          <w:rFonts w:ascii="times new roman" w:hAnsi="times new roman"/>
          <w:b w:val="false"/>
          <w:bCs w:val="false"/>
          <w:i w:val="false"/>
          <w:iCs w:val="false"/>
          <w:lang w:val="en-US"/>
        </w:rPr>
        <w:t xml:space="preserve"> chose the number of neutron groups for the problem. The next step is to define the coefficients for each material matching the materials defined in the mesh. These coefficients are used in the solution of the diffusion equation and must match the material characteristics, like the diffusion coefficients, absorption macroscopic cross sections, scattering cross-sections. All of them defined for each group. </w:t>
      </w:r>
      <w:r>
        <w:rPr>
          <w:rFonts w:ascii="times new roman" w:hAnsi="times new roman"/>
          <w:b w:val="false"/>
          <w:bCs w:val="false"/>
          <w:i w:val="false"/>
          <w:iCs w:val="false"/>
          <w:lang w:val="en-US"/>
        </w:rPr>
        <w:t>After materials definitions, the appropriate boundary conditions are set matching the physical entities defined in the mesh. In order to solve the problem, a simply call to a command builds and solve the eigenvalue problem. Figure 2 shows a simple input file for milonga.</w:t>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jc w:val="center"/>
      </w:pPr>
      <w:r>
        <w:rPr>
          <w:rFonts w:ascii="times new roman" w:hAnsi="times new roman"/>
          <w:b/>
          <w:bCs/>
          <w:i w:val="false"/>
          <w:iCs w:val="false"/>
          <w:lang w:val="en-US"/>
        </w:rPr>
        <w:t xml:space="preserve">Figure 2: </w:t>
        <w:drawing>
          <wp:anchor behindDoc="0" distT="0" distB="0" distL="0" distR="0" simplePos="0" locked="0" layoutInCell="1" allowOverlap="1" relativeHeight="5">
            <wp:simplePos x="0" y="0"/>
            <wp:positionH relativeFrom="column">
              <wp:align>center</wp:align>
            </wp:positionH>
            <wp:positionV relativeFrom="paragraph">
              <wp:align>top</wp:align>
            </wp:positionV>
            <wp:extent cx="5351780" cy="254317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2"/>
                    <a:stretch>
                      <a:fillRect/>
                    </a:stretch>
                  </pic:blipFill>
                  <pic:spPr bwMode="auto">
                    <a:xfrm>
                      <a:off x="0" y="0"/>
                      <a:ext cx="5351780" cy="2543175"/>
                    </a:xfrm>
                    <a:prstGeom prst="rect">
                      <a:avLst/>
                    </a:prstGeom>
                    <a:noFill/>
                    <a:ln w="9525">
                      <a:noFill/>
                      <a:miter lim="800000"/>
                      <a:headEnd/>
                      <a:tailEnd/>
                    </a:ln>
                  </pic:spPr>
                </pic:pic>
              </a:graphicData>
            </a:graphic>
          </wp:anchor>
        </w:drawing>
      </w:r>
      <w:r>
        <w:rPr>
          <w:rFonts w:ascii="times new roman" w:hAnsi="times new roman"/>
          <w:b/>
          <w:bCs/>
          <w:i w:val="false"/>
          <w:iCs w:val="false"/>
          <w:lang w:val="en-US"/>
        </w:rPr>
        <w:t>A simple input file for milonga with line number counting.</w:t>
      </w:r>
      <w:r/>
    </w:p>
    <w:p>
      <w:pPr>
        <w:pStyle w:val="Normal"/>
        <w:jc w:val="center"/>
        <w:rPr>
          <w:i w:val="false"/>
          <w:b/>
          <w:i w:val="false"/>
          <w:b/>
          <w:iCs w:val="false"/>
          <w:bCs/>
          <w:rFonts w:ascii="times new roman" w:hAnsi="times new roman"/>
          <w:lang w:val="en-US"/>
        </w:rPr>
      </w:pPr>
      <w:r>
        <w:rPr>
          <w:rFonts w:ascii="times new roman" w:hAnsi="times new roman"/>
          <w:b/>
          <w:bCs/>
          <w:i w:val="false"/>
          <w:iCs w:val="false"/>
          <w:lang w:val="en-US"/>
        </w:rPr>
      </w:r>
      <w:r/>
    </w:p>
    <w:p>
      <w:pPr>
        <w:pStyle w:val="Normal"/>
        <w:jc w:val="left"/>
      </w:pPr>
      <w:r>
        <w:rPr>
          <w:rFonts w:ascii="times new roman" w:hAnsi="times new roman"/>
          <w:b w:val="false"/>
          <w:bCs w:val="false"/>
          <w:i w:val="false"/>
          <w:iCs w:val="false"/>
          <w:lang w:val="en-US"/>
        </w:rPr>
        <w:t xml:space="preserve">It is important to mention that </w:t>
      </w:r>
      <w:r>
        <w:rPr>
          <w:rFonts w:ascii="times new roman" w:hAnsi="times new roman"/>
          <w:b w:val="false"/>
          <w:bCs w:val="false"/>
          <w:i/>
          <w:iCs/>
          <w:lang w:val="en-US"/>
        </w:rPr>
        <w:t>milonga</w:t>
      </w:r>
      <w:r>
        <w:rPr>
          <w:rFonts w:ascii="times new roman" w:hAnsi="times new roman"/>
          <w:b w:val="false"/>
          <w:bCs w:val="false"/>
          <w:i w:val="false"/>
          <w:iCs w:val="false"/>
          <w:lang w:val="en-US"/>
        </w:rPr>
        <w:t xml:space="preserve"> has a wide range of commands and primitives, ranging from meshing pre-processing to output in default formats for data visualization software. </w:t>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t>A key feature of milonga which makes external coupling straightforward is the option to get data in a cell wise way when discretizing the calculation domain in a mesh. In other words, is possible to have a spacial function dependence for any variable. However, to have the corresponding values of cross-sections (and all other coefficients for the diffusion approximation) for each cell, a properly set of these neutronic coefficients had to be generated in advance.</w:t>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t>2.2.1 Neutronics methodology</w:t>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t>Aknowledges</w:t>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r>
      <w:r/>
    </w:p>
    <w:p>
      <w:pPr>
        <w:pStyle w:val="Normal"/>
        <w:rPr>
          <w:i w:val="false"/>
          <w:b w:val="false"/>
          <w:i w:val="false"/>
          <w:b w:val="false"/>
          <w:iCs w:val="false"/>
          <w:bCs w:val="false"/>
          <w:rFonts w:ascii="times new roman" w:hAnsi="times new roman"/>
          <w:lang w:val="en-US"/>
        </w:rPr>
      </w:pPr>
      <w:r>
        <w:rPr>
          <w:rFonts w:ascii="times new roman" w:hAnsi="times new roman"/>
          <w:b w:val="false"/>
          <w:bCs w:val="false"/>
          <w:i w:val="false"/>
          <w:iCs w:val="false"/>
          <w:lang w:val="en-US"/>
        </w:rPr>
        <w:t>CAPES</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s>
</file>

<file path=word/settings.xml><?xml version="1.0" encoding="utf-8"?>
<w:settings xmlns:w="http://schemas.openxmlformats.org/wordprocessingml/2006/main">
  <w:zoom w:percent="18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WenQuanYi Micro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6642</TotalTime>
  <Application>LibreOffice/4.3.7.2$Linux_X86_64 LibreOffice_project/430$Build-2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2016-05-20T15:30:24Z</dcterms:created>
  <dc:language>en-US</dc:language>
  <dcterms:modified xsi:type="dcterms:W3CDTF">2016-06-03T16:40:28Z</dcterms:modified>
  <cp:revision>92</cp:revision>
</cp:coreProperties>
</file>