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Fonts w:ascii="Times New Roman" w:hAnsi="Times New Roman" w:cs="Times New Roman"/>
          <w:b/>
          <w:b/>
          <w:sz w:val="28"/>
          <w:szCs w:val="28"/>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jc w:val="center"/>
        <w:rPr/>
      </w:pPr>
      <w:r>
        <w:rPr>
          <w:rFonts w:cs="Times New Roman" w:ascii="Times New Roman" w:hAnsi="Times New Roman"/>
          <w:b/>
          <w:lang w:val="pt-BR"/>
        </w:rPr>
        <w:t>Vitor Vasconcelos</w:t>
      </w:r>
      <w:r>
        <w:rPr>
          <w:rFonts w:cs="Times New Roman" w:ascii="Times New Roman" w:hAnsi="Times New Roman"/>
          <w:b/>
          <w:vertAlign w:val="superscript"/>
          <w:lang w:val="pt-BR"/>
        </w:rPr>
        <w:t>a,c</w:t>
      </w:r>
      <w:r>
        <w:rPr>
          <w:rFonts w:cs="Times New Roman" w:ascii="Times New Roman" w:hAnsi="Times New Roman"/>
          <w:b/>
          <w:lang w:val="pt-BR"/>
        </w:rPr>
        <w:t>*, André Santos</w:t>
      </w:r>
      <w:bookmarkStart w:id="0" w:name="__DdeLink__1521_1339787459"/>
      <w:r>
        <w:rPr>
          <w:rFonts w:cs="Times New Roman" w:ascii="Times New Roman" w:hAnsi="Times New Roman"/>
          <w:b/>
          <w:vertAlign w:val="superscript"/>
          <w:lang w:val="pt-BR"/>
        </w:rPr>
        <w:t>a</w:t>
      </w:r>
      <w:bookmarkEnd w:id="0"/>
      <w:r>
        <w:rPr>
          <w:rFonts w:cs="Times New Roman" w:ascii="Times New Roman" w:hAnsi="Times New Roman"/>
          <w:b/>
          <w:lang w:val="pt-BR"/>
        </w:rPr>
        <w:t>, Daniel Campolina</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Claubia Pereira</w:t>
      </w:r>
      <w:r>
        <w:rPr>
          <w:rFonts w:cs="Times New Roman" w:ascii="Times New Roman" w:hAnsi="Times New Roman"/>
          <w:b/>
          <w:vertAlign w:val="superscript"/>
          <w:lang w:val="pt-BR"/>
        </w:rPr>
        <w:t>c</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c</w:t>
      </w:r>
      <w:r>
        <w:rPr>
          <w:rFonts w:cs="Times New Roman" w:ascii="Times New Roman" w:hAnsi="Times New Roman"/>
          <w:lang w:val="pt-BR"/>
        </w:rPr>
        <w:t>Departamento de Engenharia Nuclear (DEN), Universidade Federal de Minas Gerais (UFMG), Av. Pres. Antônio Carlos, 6627 - 30270-901 Belo Horizonte, MG, Brazil</w:t>
      </w:r>
    </w:p>
    <w:p>
      <w:pPr>
        <w:pStyle w:val="Normal"/>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b/>
          <w:b/>
          <w:bCs/>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pPr>
      <w:r>
        <w:rPr>
          <w:color w:val="000000"/>
        </w:rPr>
        <w:t xml:space="preserve">The development of a fine mesh coupled neutronics/thermal-hydraulics framework mainly using free open source software is presented. The proposed contributions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r>
        <w:rPr>
          <w:i/>
          <w:iCs/>
          <w:color w:val="000000"/>
        </w:rPr>
        <w:t>OpenFOAM</w:t>
      </w:r>
      <w:r>
        <w:rPr>
          <w:color w:val="000000"/>
        </w:rPr>
        <w:t xml:space="preserve"> to the free and flexible reactor core analysis code </w:t>
      </w:r>
      <w:r>
        <w:rPr>
          <w:i/>
          <w:iCs/>
          <w:color w:val="000000"/>
        </w:rPr>
        <w:t>milonga</w:t>
      </w:r>
      <w:r>
        <w:rPr>
          <w:color w:val="000000"/>
        </w:rPr>
        <w:t xml:space="preserve">. This concept was applied to model the behavior of a TRIGA-IPR-R1 reactor fuel pin in steady-state mode. </w:t>
      </w:r>
      <w:r>
        <w:rPr>
          <w:rFonts w:cs="Times New Roman" w:ascii="Times New Roman" w:hAnsi="Times New Roman"/>
          <w:color w:val="000000"/>
        </w:rPr>
        <w:t xml:space="preserve">The macroscopic cross-sections for the model, a set of two-group cross-sections data, were generated using the </w:t>
      </w:r>
      <w:r>
        <w:rPr>
          <w:rFonts w:cs="Times New Roman" w:ascii="Times New Roman" w:hAnsi="Times New Roman"/>
          <w:i/>
          <w:iCs/>
          <w:color w:val="000000"/>
        </w:rPr>
        <w:t>Serpent</w:t>
      </w:r>
      <w:r>
        <w:rPr>
          <w:rFonts w:cs="Times New Roman" w:ascii="Times New Roman" w:hAnsi="Times New Roman"/>
          <w:color w:val="000000"/>
        </w:rPr>
        <w:t xml:space="preserve"> code. The results show that this coupled system gives consistent results, encouraging system further development and its use for complex geometries simulations.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rPr>
        <w:t>*Corresponding author. Tel: +55 31 3069 3466; fax: +55 31 3069 3400</w:t>
      </w:r>
    </w:p>
    <w:p>
      <w:pPr>
        <w:pStyle w:val="Normal"/>
        <w:rPr/>
      </w:pPr>
      <w:r>
        <w:rPr>
          <w:rFonts w:cs="Times New Roman" w:ascii="Times New Roman" w:hAnsi="Times New Roman"/>
          <w:b/>
          <w:bCs/>
        </w:rPr>
        <w:t>E-mail address: vitors@cdtn.br, (Vitor Vasconcelos)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goal is to present a coupled neutronics and thermal-hydraulics framework for nuclear reactor calculations. The thermal-hydraulic computations are performed by a free software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is shared between them through a shared memory segment and the codes are synchronized using POSIX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many reasons for choosing a computationally demanding method like finite volumes to solve both neutronics and thermal-hydraulics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neutronic codes to solve nuclear reactor problems in a coupled way. These coupled calculations approaches, also called multiphysics (Leppännen et al., 2012, Schimidt et al., 2015, Bennett et al., 2016 </w:t>
      </w:r>
      <w:r>
        <w:rPr>
          <w:rFonts w:cs="Times New Roman" w:ascii="Times New Roman" w:hAnsi="Times New Roman"/>
        </w:rPr>
        <w:t>and Valtavirta et al., 2017</w:t>
      </w:r>
      <w:r>
        <w:rPr>
          <w:rFonts w:cs="Times New Roman" w:ascii="Times New Roman" w:hAnsi="Times New Roman"/>
        </w:rPr>
        <w:t xml:space="preserve">), offer an innovative way of modeling the feedback from thermal-hydraulics to neutronics and vice versa. </w:t>
      </w:r>
      <w:r>
        <w:rPr>
          <w:rFonts w:cs="Times New Roman" w:ascii="Times New Roman" w:hAnsi="Times New Roman"/>
        </w:rPr>
        <w:t>Some of these approaches worth a more than a mention, like the development of a multiphysics OpenFOAM solver called GeN-Foam (Fiorina et al., 2015) capable of solving coupled problems using different fine-meshes in parallel. An extension of this work (Fiorina et al., 2016) focuses on its diffusion solver and its features and performs verification through comparison to Monte Carlo results.</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 important aspect of computer hardware evolution is the respective evolution of the associated software. The effects of changes in software conception and development in order to take advantage of hardware improvement are often neglected, especially in the nuclear engineering field. Despite the healthy discussion on the safety and the advantages and disadvantages of open source software in many fields (Androutsellis-Theotokis et al. 2010), it is impossible to deny the influence of free software in the society nowadays (Williams and Stallman, 2010). However, more than software itself, free and open source software bring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w:t>
      </w:r>
      <w:r>
        <w:rPr>
          <w:rFonts w:cs="Times New Roman" w:ascii="Times New Roman" w:hAnsi="Times New Roman"/>
        </w:rPr>
        <w:t xml:space="preserve">A special mention must be made to the MOOSE framework (Gaston et al., 2009) which goes further on solving coupled problems by providing a complete framework </w:t>
      </w:r>
      <w:r>
        <w:rPr>
          <w:rFonts w:cs="Times New Roman" w:ascii="Times New Roman" w:hAnsi="Times New Roman"/>
        </w:rPr>
        <w:t xml:space="preserve">in </w:t>
      </w:r>
      <w:r>
        <w:rPr>
          <w:rFonts w:cs="Times New Roman" w:ascii="Times New Roman" w:hAnsi="Times New Roman"/>
        </w:rPr>
        <w:t xml:space="preserve">which users can develop </w:t>
      </w:r>
      <w:r>
        <w:rPr>
          <w:rFonts w:cs="Times New Roman" w:ascii="Times New Roman" w:hAnsi="Times New Roman"/>
        </w:rPr>
        <w:t xml:space="preserve">tightly coupled multiphysics solvers taking advantage of built-in parallel implementation and many other features. </w:t>
      </w:r>
      <w:r>
        <w:rPr>
          <w:rFonts w:cs="Times New Roman" w:ascii="Times New Roman" w:hAnsi="Times New Roman"/>
        </w:rPr>
        <w:t xml:space="preserve">All of these software share a common aspect: they are all open, freely available and, most important, their development is decentralized. This means that and anyone interested in participating can download it and start a development branch to make changes and improvements. Once the developer finishes its work, its contributions are submitted to the main development branch and project maintainers take care of checking and decide if contribution is merged back into the official code distribution or not. This development cycle is, probably, the main strength of an open software project. These are solid reasons to make software presented is this paper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the following features: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 xml:space="preserve">Neutronics and thermal-hydraulics are calculated using a finite-volumes approach, in steady-state mode, and both pieces of software use the same domain discretization for the computations. Data is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sharing data in thread-based systems, this form of data access is not widely used in neutronics and thermal-hydraulics coupling. It extends the innovative </w:t>
      </w:r>
      <w:r>
        <w:rPr>
          <w:rFonts w:cs="Times New Roman" w:ascii="Times New Roman" w:hAnsi="Times New Roman"/>
          <w:i/>
          <w:iCs/>
        </w:rPr>
        <w:t>shared-memory</w:t>
      </w:r>
      <w:r>
        <w:rPr>
          <w:rFonts w:cs="Times New Roman" w:ascii="Times New Roman" w:hAnsi="Times New Roman"/>
        </w:rPr>
        <w:t xml:space="preserve"> approach proposed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It uses two free and open source codes for neutronics and thermal hydraulics coupling aiming to bring to the light the discussion of the use of open (and free</w:t>
      </w:r>
      <w:r>
        <w:rPr>
          <w:rStyle w:val="FootnoteAnchor"/>
          <w:rFonts w:cs="Times New Roman" w:ascii="Times New Roman" w:hAnsi="Times New Roman"/>
        </w:rPr>
        <w:footnoteReference w:id="2"/>
      </w:r>
      <w:r>
        <w:rPr>
          <w:rFonts w:cs="Times New Roman" w:ascii="Times New Roman" w:hAnsi="Times New Roman"/>
        </w:rPr>
        <w:t xml:space="preserv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order to test the coupled framework, a geometry representing one TRIGA IPR-R1 reactor fuel pin was modeled. It is worth noting that “to test” in the context of this work means to guarantee that:</w:t>
      </w:r>
    </w:p>
    <w:p>
      <w:pPr>
        <w:pStyle w:val="Normal"/>
        <w:jc w:val="both"/>
        <w:rPr/>
      </w:pPr>
      <w:r>
        <w:rPr>
          <w:rFonts w:cs="Times New Roman" w:ascii="Times New Roman" w:hAnsi="Times New Roman"/>
        </w:rPr>
        <w:tab/>
        <w:t>1.data is properly exchanged from thermal-hydraulics to neutronics and the vice versa;</w:t>
      </w:r>
    </w:p>
    <w:p>
      <w:pPr>
        <w:pStyle w:val="Normal"/>
        <w:jc w:val="both"/>
        <w:rPr/>
      </w:pPr>
      <w:r>
        <w:rPr>
          <w:rFonts w:cs="Times New Roman" w:ascii="Times New Roman" w:hAnsi="Times New Roman"/>
        </w:rPr>
        <w:tab/>
        <w:t xml:space="preserve">2.calculations are correctly carried and numerical convergence is achieved in both codes. </w:t>
      </w:r>
    </w:p>
    <w:p>
      <w:pPr>
        <w:pStyle w:val="Normal"/>
        <w:jc w:val="both"/>
        <w:rPr/>
      </w:pPr>
      <w:r>
        <w:rPr>
          <w:rFonts w:cs="Times New Roman" w:ascii="Times New Roman" w:hAnsi="Times New Roman"/>
        </w:rPr>
        <w:t xml:space="preserve">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pic:spPr>
                </pic:pic>
              </a:graphicData>
            </a:graphic>
          </wp:inline>
        </w:drawing>
      </w:r>
    </w:p>
    <w:p>
      <w:pPr>
        <w:pStyle w:val="Normal"/>
        <w:jc w:val="center"/>
        <w:rPr>
          <w:rFonts w:ascii="Times New Roman" w:hAnsi="Times New Roman" w:cs="Times New Roman"/>
          <w:b/>
          <w:b/>
          <w:bCs/>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Cross-sections processing is performed using the </w:t>
      </w:r>
      <w:r>
        <w:rPr>
          <w:rFonts w:cs="Times New Roman" w:ascii="Times New Roman" w:hAnsi="Times New Roman"/>
          <w:i/>
          <w:iCs/>
          <w:color w:val="000000"/>
        </w:rPr>
        <w:t xml:space="preserve">Serpent Monte Carlo </w:t>
      </w:r>
      <w:r>
        <w:rPr>
          <w:rFonts w:cs="Times New Roman" w:ascii="Times New Roman" w:hAnsi="Times New Roman"/>
          <w:color w:val="000000"/>
        </w:rPr>
        <w:t xml:space="preserve">code (Leppänen etal, 2015), following this code abilities in generating N groups cross-sections. It should be noted </w:t>
      </w:r>
      <w:r>
        <w:rPr>
          <w:rFonts w:eastAsia="WenQuanYi Micro Hei" w:cs="Times New Roman" w:ascii="Times New Roman" w:hAnsi="Times New Roman"/>
          <w:color w:val="000000"/>
          <w:sz w:val="24"/>
          <w:szCs w:val="24"/>
          <w:lang w:val="en-US" w:eastAsia="zh-CN" w:bidi="hi-IN"/>
        </w:rPr>
        <w:t>that</w:t>
      </w:r>
      <w:r>
        <w:rPr>
          <w:rFonts w:cs="Times New Roman" w:ascii="Times New Roman" w:hAnsi="Times New Roman"/>
          <w:color w:val="000000"/>
        </w:rPr>
        <w:t xml:space="preserve"> even though </w:t>
      </w:r>
      <w:r>
        <w:rPr>
          <w:rFonts w:cs="Times New Roman" w:ascii="Times New Roman" w:hAnsi="Times New Roman"/>
          <w:i/>
          <w:iCs/>
          <w:color w:val="000000"/>
        </w:rPr>
        <w:t>Serpent</w:t>
      </w:r>
      <w:r>
        <w:rPr>
          <w:rFonts w:cs="Times New Roman" w:ascii="Times New Roman" w:hAnsi="Times New Roman"/>
          <w:color w:val="000000"/>
        </w:rPr>
        <w:t xml:space="preserve"> is distributed along with its source code, its specific license is not compatible with the GNU Public License (GNU license, 2007) nor with other licenses classified as open-source compliant, and thus is not cited as an example of free software.</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Before diving into the details of the coupled calculations, it is useful to describe the models and methodology used for each code in standalone mode. The coupled code has a special feature concerning data exchange, but the way both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rPr>
        <w:t xml:space="preserve"> runs is preserved. </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2.1 Cross-sections generation</w:t>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color w:val="000000"/>
        </w:rPr>
        <w:t xml:space="preserve">In order to be able to utilize </w:t>
      </w:r>
      <w:r>
        <w:rPr>
          <w:rFonts w:cs="Times New Roman" w:ascii="Times New Roman" w:hAnsi="Times New Roman"/>
          <w:i/>
          <w:iCs/>
          <w:color w:val="000000"/>
        </w:rPr>
        <w:t xml:space="preserve">milonga </w:t>
      </w:r>
      <w:r>
        <w:rPr>
          <w:rFonts w:cs="Times New Roman" w:ascii="Times New Roman" w:hAnsi="Times New Roman"/>
          <w:color w:val="000000"/>
        </w:rPr>
        <w:t>to calculate the power distribution in the modeled fuel pin it is mandatory to have the macroscopic cross-sections for each group so they can be used in the neutron diffusion approximation equation. These input values consist usually of absorption, fission neutron production and group scattering cross-sections In this work, a set of two-group cross-sections is generated for three different materials at different temperatures, corresponding to the modeled fuel element expected temperatures operation range, considering the fuel composition at the beginning of life TRIGA IPR-R1. A simplified model of a fuel pin was built which keeps the fissile material/moderator ratio of the entire TRIGA IPR-R1 core.</w:t>
      </w:r>
    </w:p>
    <w:p>
      <w:pPr>
        <w:pStyle w:val="Normal"/>
        <w:tabs>
          <w:tab w:val="left" w:pos="0" w:leader="none"/>
          <w:tab w:val="left" w:pos="284" w:leader="none"/>
        </w:tabs>
        <w:jc w:val="both"/>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rPr>
        <w:t>Considering this ratio, this model was loaded in the Serpent Monte Carlo code and two-group cross-sections were generated accordingly, following an established methodology for cross-section generation in Serpent (Leppänen et al., 2016). Sets of cross-sections were generated following the aforementioned cross-section generation methodology for three different materials representing fuel, cladding and coolant at the tabulated temperatures presented in Table 1. The composition of the materials are depicted in Table 2. The Serpent code (version 2.1.29) reads a properly chosen set of cross-sections representing the materials of the model. The main cross-sections data come from ENDFB-7 library originally distributed with Serpent 1.1.7. Another set of cross-sections previously prepared for simulations of zirconium hydride in the TRIGA fuel is used, based on ENDFB-7.</w:t>
      </w:r>
    </w:p>
    <w:p>
      <w:pPr>
        <w:pStyle w:val="Textoindependiente31"/>
        <w:jc w:val="center"/>
        <w:rPr/>
      </w:pPr>
      <w:bookmarkStart w:id="1" w:name="__DdeLink__1441_32010576"/>
      <w:bookmarkEnd w:id="1"/>
      <w:r>
        <w:rPr>
          <w:b/>
        </w:rPr>
        <w:t>Table 1. Temperatures for fuel, cladding and moderator (Veloso, 20</w:t>
      </w:r>
      <w:r>
        <w:rPr>
          <w:b/>
        </w:rPr>
        <w:t>0</w:t>
      </w:r>
      <w:r>
        <w:rPr>
          <w:b/>
        </w:rPr>
        <w:t>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1</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2</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3</w:t>
            </w:r>
            <w:r>
              <w:rPr>
                <w:rFonts w:cs="Times New Roman" w:ascii="Times New Roman" w:hAnsi="Times New Roman"/>
              </w:rPr>
              <w:t xml:space="preserve"> [K]</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4</w:t>
            </w:r>
            <w:r>
              <w:rPr>
                <w:rFonts w:cs="Times New Roman" w:ascii="Times New Roman" w:hAnsi="Times New Roman"/>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water/moderator</w:t>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300</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309</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317</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341</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2. Material composition for cross-sections generation with Serpent 2.1.29 (*Materials code changes for the fuel temperature of 600K from 03.c to 06.c since the tabulated data is available in the library used).</w:t>
      </w:r>
    </w:p>
    <w:tbl>
      <w:tblPr>
        <w:tblW w:w="8550"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798"/>
        <w:gridCol w:w="1846"/>
        <w:gridCol w:w="2517"/>
        <w:gridCol w:w="2388"/>
      </w:tblGrid>
      <w:tr>
        <w:trPr/>
        <w:tc>
          <w:tcPr>
            <w:tcW w:w="179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 code*</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bookmarkStart w:id="2" w:name="_GoBack"/>
            <w:bookmarkEnd w:id="2"/>
            <w:r>
              <w:rPr>
                <w:rFonts w:cs="Times New Roman" w:ascii="Times New Roman" w:hAnsi="Times New Roman"/>
              </w:rPr>
              <w:t>Atomic fraction</w:t>
            </w:r>
          </w:p>
        </w:tc>
      </w:tr>
      <w:tr>
        <w:trPr>
          <w:trHeight w:val="180" w:hRule="atLeast"/>
        </w:trPr>
        <w:tc>
          <w:tcPr>
            <w:tcW w:w="179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H (in zyrconium hydrade)</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1001.03c/06.c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3.7525x10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Zr</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4000.03c/.06c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3.7727x10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235</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92235.03c/.06c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2.5744x10</w:t>
            </w:r>
            <w:r>
              <w:rPr>
                <w:rFonts w:ascii="Times new roman" w:hAnsi="Times new roman"/>
                <w:sz w:val="24"/>
                <w:szCs w:val="24"/>
                <w:vertAlign w:val="superscript"/>
              </w:rPr>
              <w:t>-4</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238</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92238.03c/06c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1.0167x10</w:t>
            </w:r>
            <w:r>
              <w:rPr>
                <w:rFonts w:ascii="Times new roman" w:hAnsi="Times new roman"/>
                <w:sz w:val="24"/>
                <w:szCs w:val="24"/>
                <w:vertAlign w:val="superscript"/>
              </w:rPr>
              <w:t>-3</w:t>
            </w:r>
          </w:p>
        </w:tc>
      </w:tr>
      <w:tr>
        <w:trPr>
          <w:trHeight w:val="412" w:hRule="atLeast"/>
        </w:trPr>
        <w:tc>
          <w:tcPr>
            <w:tcW w:w="179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846"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Al</w:t>
            </w:r>
          </w:p>
        </w:tc>
        <w:tc>
          <w:tcPr>
            <w:tcW w:w="251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13027.03c</w:t>
            </w:r>
          </w:p>
        </w:tc>
        <w:tc>
          <w:tcPr>
            <w:tcW w:w="238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cs="Times New Roman" w:ascii="Times new roman" w:hAnsi="Times new roman"/>
                <w:sz w:val="24"/>
                <w:szCs w:val="24"/>
              </w:rPr>
              <w:t>6.0261x10</w:t>
            </w:r>
            <w:r>
              <w:rPr>
                <w:rFonts w:cs="Times New Roman" w:ascii="Times new roman" w:hAnsi="Times new roman"/>
                <w:sz w:val="24"/>
                <w:szCs w:val="24"/>
                <w:vertAlign w:val="superscript"/>
              </w:rPr>
              <w:t>-2</w:t>
            </w:r>
          </w:p>
        </w:tc>
      </w:tr>
      <w:tr>
        <w:trPr>
          <w:trHeight w:val="412" w:hRule="atLeast"/>
        </w:trPr>
        <w:tc>
          <w:tcPr>
            <w:tcW w:w="1798" w:type="dxa"/>
            <w:vMerge w:val="restart"/>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water/moderator</w:t>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H</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1001.03c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6.6653</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r>
        <w:trPr>
          <w:trHeight w:val="412" w:hRule="atLeast"/>
        </w:trPr>
        <w:tc>
          <w:tcPr>
            <w:tcW w:w="1798" w:type="dxa"/>
            <w:vMerge w:val="continue"/>
            <w:tcBorders>
              <w:top w:val="single" w:sz="12" w:space="0" w:color="00000A"/>
              <w:bottom w:val="single" w:sz="12" w:space="0" w:color="00000A"/>
              <w:insideH w:val="single" w:sz="12" w:space="0" w:color="00000A"/>
            </w:tcBorders>
            <w:shd w:color="auto" w:fill="FFFFFF" w:val="clear"/>
            <w:vAlign w:val="center"/>
          </w:tcPr>
          <w:p>
            <w:pPr>
              <w:pStyle w:val="Normal"/>
              <w:rPr/>
            </w:pPr>
            <w:r>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O</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8016.03c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3.3327</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calculations for obtaining cross-sections at the desired tabulated temperatures were made using the Doppler-broadening feature implemented in Serpent for this purpose. Diffusion coefficients, absorption cross-sections, scattering cross-sections and energy released by fission were obtained in this way. After this procedure, sets of coefficients for each material at four different temperatures are available to be used by </w:t>
      </w:r>
      <w:r>
        <w:rPr>
          <w:rFonts w:cs="Times New Roman" w:ascii="Times New Roman" w:hAnsi="Times New Roman"/>
          <w:i/>
          <w:iCs/>
        </w:rPr>
        <w:t xml:space="preserve">milonga. </w:t>
      </w:r>
      <w:r>
        <w:rPr>
          <w:rFonts w:cs="Times New Roman" w:ascii="Times New Roman" w:hAnsi="Times New Roman"/>
        </w:rPr>
        <w:t xml:space="preserve">Table 3 shows the parameters used by </w:t>
      </w:r>
      <w:r>
        <w:rPr>
          <w:rFonts w:cs="Times New Roman" w:ascii="Times New Roman" w:hAnsi="Times New Roman"/>
          <w:i/>
          <w:iCs/>
        </w:rPr>
        <w:t>milonga</w:t>
      </w:r>
      <w:r>
        <w:rPr>
          <w:rFonts w:cs="Times New Roman" w:ascii="Times New Roman" w:hAnsi="Times New Roman"/>
        </w:rPr>
        <w:t xml:space="preserve"> and which diffusion equation coefficient they physically represent.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These data are written in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format (</w:t>
      </w:r>
      <w:r>
        <w:rPr>
          <w:rFonts w:eastAsia="WenQuanYi Micro Hei" w:cs="Times New Roman" w:ascii="Times New Roman" w:hAnsi="Times New Roman"/>
          <w:color w:val="00000A"/>
          <w:sz w:val="24"/>
          <w:szCs w:val="24"/>
          <w:lang w:val="en-US" w:eastAsia="zh-CN" w:bidi="hi-IN"/>
        </w:rPr>
        <w:t>i.e.</w:t>
      </w:r>
      <w:r>
        <w:rPr>
          <w:rFonts w:cs="Times New Roman" w:ascii="Times New Roman" w:hAnsi="Times New Roman"/>
        </w:rPr>
        <w:t xml:space="preserve"> a plain ASCII file with column-wise data) as a one</w:t>
      </w:r>
      <w:r>
        <w:rPr>
          <w:rFonts w:cs="Times New Roman" w:ascii="Times New Roman" w:hAnsi="Times New Roman"/>
          <w:color w:val="0000FF"/>
        </w:rPr>
        <w:t>-</w:t>
      </w:r>
      <w:r>
        <w:rPr>
          <w:rFonts w:cs="Times New Roman" w:ascii="Times New Roman" w:hAnsi="Times New Roman"/>
        </w:rPr>
        <w:t xml:space="preserve">variable function dependent on temperature. Since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has cell</w:t>
      </w:r>
      <w:r>
        <w:rPr>
          <w:rFonts w:cs="Times New Roman" w:ascii="Times New Roman" w:hAnsi="Times New Roman"/>
          <w:color w:val="0000FF"/>
        </w:rPr>
        <w:t>-</w:t>
      </w:r>
      <w:r>
        <w:rPr>
          <w:rFonts w:cs="Times New Roman" w:ascii="Times New Roman" w:hAnsi="Times New Roman"/>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rPr>
        <w:t xml:space="preserve">milonga </w:t>
      </w:r>
      <w:r>
        <w:rPr>
          <w:rFonts w:cs="Times New Roman" w:ascii="Times New Roman" w:hAnsi="Times New Roman"/>
        </w:rPr>
        <w:t>provides different interpolation algorithms (linear, splines, akima, steffen, etc.). In other words, for each neutronic calculation, a set of coefficients for diffusion equation is calculated based on interpolated values of cell temperatures. Each cell in the mesh can have its own set of coefficients if the temperature is not uniform through the spatial domain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b/>
          <w:bCs/>
        </w:rPr>
        <w:t>2.2 Thermal-hydraulics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C++ library</w:t>
      </w:r>
      <w:r>
        <w:rPr>
          <w:rFonts w:cs="Times New Roman" w:ascii="Times New Roman" w:hAnsi="Times New Roman"/>
          <w:color w:val="000000"/>
        </w:rPr>
        <w:t xml:space="preserve"> offers numerical solvers for many common problems in continuum mechanics and utilities for data pre and post-processing. In order to solve a one-phase steady state fluid flow including conjugated heat transfer from three different materials, the </w:t>
      </w:r>
      <w:r>
        <w:rPr>
          <w:rFonts w:cs="Courier New" w:ascii="Courier New" w:hAnsi="Courier New"/>
          <w:color w:val="000000"/>
          <w:sz w:val="22"/>
          <w:szCs w:val="22"/>
        </w:rPr>
        <w:t>chtMultiRegionSimpleFoam</w:t>
      </w:r>
      <w:r>
        <w:rPr>
          <w:rFonts w:cs="Times New Roman" w:ascii="Times New Roman" w:hAnsi="Times New Roman"/>
          <w:color w:val="000000"/>
        </w:rPr>
        <w:t xml:space="preserve"> solver (</w:t>
      </w:r>
      <w:r>
        <w:rPr>
          <w:rFonts w:cs="Times New Roman" w:ascii="Times New Roman" w:hAnsi="Times New Roman"/>
          <w:i/>
          <w:iCs/>
        </w:rPr>
        <w:t>OpenFOAM</w:t>
      </w:r>
      <w:r>
        <w:rPr>
          <w:rFonts w:cs="Times New Roman" w:ascii="Times New Roman" w:hAnsi="Times New Roman"/>
        </w:rPr>
        <w:t>, 2015)</w:t>
      </w:r>
      <w:r>
        <w:rPr>
          <w:rFonts w:cs="Times New Roman" w:ascii="Times New Roman" w:hAnsi="Times New Roman"/>
          <w:color w:val="000000"/>
        </w:rPr>
        <w:t xml:space="preserve"> was chosen.</w:t>
      </w:r>
    </w:p>
    <w:p>
      <w:pPr>
        <w:pStyle w:val="Textoindependiente31"/>
        <w:jc w:val="center"/>
        <w:rPr>
          <w:b/>
          <w:b/>
        </w:rPr>
      </w:pPr>
      <w:r>
        <w:rPr>
          <w:b/>
        </w:rPr>
      </w:r>
    </w:p>
    <w:p>
      <w:pPr>
        <w:pStyle w:val="Textoindependiente31"/>
        <w:jc w:val="center"/>
        <w:rPr/>
      </w:pPr>
      <w:bookmarkStart w:id="3" w:name="__DdeLink__9873_1916375024"/>
      <w:bookmarkEnd w:id="3"/>
      <w:r>
        <w:rPr>
          <w:b/>
        </w:rPr>
        <w:t>Table 3.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344"/>
        <w:gridCol w:w="5042"/>
        <w:gridCol w:w="3079"/>
      </w:tblGrid>
      <w:tr>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Group</w:t>
            </w:r>
          </w:p>
        </w:tc>
        <w:tc>
          <w:tcPr>
            <w:tcW w:w="5042"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Coefficients</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Parameter</w:t>
            </w:r>
          </w:p>
        </w:tc>
      </w:tr>
      <w:tr>
        <w:trPr>
          <w:trHeight w:val="180" w:hRule="atLeast"/>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Group 1: &gt;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Scattering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ΣS1.2</w:t>
            </w:r>
          </w:p>
        </w:tc>
      </w:tr>
      <w:tr>
        <w:trPr>
          <w:trHeight w:val="412" w:hRule="atLeast"/>
        </w:trPr>
        <w:tc>
          <w:tcPr>
            <w:tcW w:w="134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Neutrons per fission * Fission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rPr>
            </w:pPr>
            <w:r>
              <w:rPr>
                <w:rFonts w:ascii="Times New Roman" w:hAnsi="Times New Roman"/>
              </w:rPr>
            </w:r>
          </w:p>
        </w:tc>
        <w:tc>
          <w:tcPr>
            <w:tcW w:w="50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Neutrons per fission * Fission cross-section</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νΣF2</w:t>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color w:val="000000"/>
        </w:rPr>
      </w:pPr>
      <w:bookmarkStart w:id="4" w:name="move494732002"/>
      <w:r>
        <w:rPr>
          <w:rFonts w:cs="Times New Roman" w:ascii="Times New Roman" w:hAnsi="Times New Roman"/>
          <w:color w:val="000000"/>
        </w:rPr>
        <w:t xml:space="preserve">The fluid dynamic is governed by the momentum, continuity and energy conservation equations. </w:t>
      </w:r>
      <w:bookmarkEnd w:id="4"/>
      <w:r>
        <w:rPr>
          <w:rFonts w:cs="Times New Roman" w:ascii="Times New Roman" w:hAnsi="Times New Roman"/>
          <w:color w:val="000000"/>
        </w:rPr>
        <w:t xml:space="preserve">The chosen solver separates fluid regions from solid regions and then solves the appropriated equations for each type of region, taking into account the thermal and physical properties of each material, defined separately for each region.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energy equation is implemented in a flexible way, allowing for calculations using enthalpy or internal energy.</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its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bookmarkStart w:id="5" w:name="move4947320021"/>
      <w:r>
        <w:rPr>
          <w:rFonts w:cs="Times New Roman" w:ascii="Times New Roman" w:hAnsi="Times New Roman"/>
          <w:color w:val="000000"/>
        </w:rPr>
        <w:t xml:space="preserve">The fluid dynamic RANS equations for momentum, continuity and energy conservation were solved. </w:t>
      </w:r>
      <w:bookmarkEnd w:id="5"/>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 xml:space="preserve">). </w:t>
      </w: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jc w:val="both"/>
        <w:textAlignment w:val="center"/>
        <w:rPr/>
      </w:pPr>
      <w:r>
        <w:rPr/>
        <w:t>Thermo-physical properties are defined for each region as a function of temperature or constant based on the work by Veloso (2015), as presented in Table 4. The coolant properties were considered constant to reduce computational cost as the temperature variations where expected to be small and not affect the proof-of-concept.</w:t>
      </w:r>
    </w:p>
    <w:p>
      <w:pPr>
        <w:pStyle w:val="Normal"/>
        <w:tabs>
          <w:tab w:val="center" w:pos="4986" w:leader="none"/>
          <w:tab w:val="right" w:pos="9972" w:leader="none"/>
        </w:tabs>
        <w:jc w:val="both"/>
        <w:textAlignment w:val="center"/>
        <w:rPr/>
      </w:pPr>
      <w:r>
        <w:rPr/>
      </w:r>
    </w:p>
    <w:p>
      <w:pPr>
        <w:pStyle w:val="Normal"/>
        <w:tabs>
          <w:tab w:val="center" w:pos="4986" w:leader="none"/>
          <w:tab w:val="right" w:pos="9972" w:leader="none"/>
        </w:tabs>
        <w:textAlignment w:val="center"/>
        <w:rPr/>
      </w:pPr>
      <w:r>
        <w:rPr>
          <w:rFonts w:cs="Times New Roman" w:ascii="Times New Roman" w:hAnsi="Times New Roman"/>
          <w:b/>
          <w:bCs/>
        </w:rPr>
        <w:t>2.3 Neutronics</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It heavily relies on other well-known GNU free and open libraries, like PETSc (Balay et al., 2016), SLEPc (Hernandez et al., 2005) and the GNU Scientific Library (Galassi et al., 2009), bringing to it the robustness of these established software and keeping the principles of freedom of software use that GNU encourages. It solves the steady-state multigroup neutron transport equation, either using the diffusion approximation or the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finite-element or finite-volumes schemes. This ability to use finite-volumes discretization schemes over unstructured grids makes possible, regarding the present problem, to have the same mesh for both thermal-hydraulics and neutronics calculations. With identical meshes, the dependency between fields in each tool can be solved without any additional step and with the same degree of details. Despite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can be observed using the diffusion approximation for multigroup steady-state calculations. </w:t>
      </w:r>
      <w:r>
        <w:rPr>
          <w:rFonts w:cs="Times New Roman" w:ascii="Times New Roman" w:hAnsi="Times New Roman"/>
        </w:rPr>
        <w:t>Despite the cross-sections dependence on temperatures, the diffusion equation can be formulated as linear since the coefficients are kept constant during each step in the iterative calculation.</w:t>
      </w:r>
    </w:p>
    <w:p>
      <w:pPr>
        <w:pStyle w:val="Normal"/>
        <w:tabs>
          <w:tab w:val="center" w:pos="4986" w:leader="none"/>
          <w:tab w:val="right" w:pos="9972" w:leader="none"/>
        </w:tabs>
        <w:jc w:val="both"/>
        <w:textAlignment w:val="center"/>
        <w:rPr>
          <w:rFonts w:ascii="Times New Roman" w:hAnsi="Times New Roman" w:cs="Times New Roman"/>
          <w:b/>
          <w:b/>
        </w:rPr>
      </w:pPr>
      <w:r>
        <w:rPr>
          <w:rFonts w:cs="Times New Roman" w:ascii="Times New Roman" w:hAnsi="Times New Roman"/>
          <w:b/>
        </w:rPr>
      </w:r>
    </w:p>
    <w:p>
      <w:pPr>
        <w:pStyle w:val="Textoindependiente31"/>
        <w:tabs>
          <w:tab w:val="center" w:pos="4986" w:leader="none"/>
          <w:tab w:val="right" w:pos="9972" w:leader="none"/>
        </w:tabs>
        <w:jc w:val="center"/>
        <w:textAlignment w:val="center"/>
        <w:rPr/>
      </w:pPr>
      <w:r>
        <w:rPr>
          <w:b/>
        </w:rPr>
        <w:t>Table 4. Thermo-physical properties.</w:t>
      </w:r>
    </w:p>
    <w:tbl>
      <w:tblPr>
        <w:tblW w:w="9174"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263"/>
        <w:gridCol w:w="1073"/>
        <w:gridCol w:w="2700"/>
        <w:gridCol w:w="2337"/>
        <w:gridCol w:w="1801"/>
      </w:tblGrid>
      <w:tr>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t>Material</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Density [kg/m</w:t>
            </w:r>
            <w:r>
              <w:rPr>
                <w:rFonts w:cs="Times New Roman" w:ascii="Times New Roman" w:hAnsi="Times New Roman"/>
                <w:vertAlign w:val="superscript"/>
              </w:rPr>
              <w:t>3]</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Specific heat [kj/kg.K]</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bookmarkStart w:id="6" w:name="_GoBack1"/>
            <w:bookmarkEnd w:id="6"/>
            <w:r>
              <w:rPr>
                <w:rFonts w:cs="Times New Roman" w:ascii="Times New Roman" w:hAnsi="Times New Roman"/>
              </w:rPr>
              <w:t>Conductivity [W/m.K]</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t>Viscosity [</w:t>
            </w:r>
            <w:r>
              <w:rPr>
                <w:rFonts w:eastAsia="WenQuanYi Micro Hei" w:cs="Lohit Devanagari"/>
              </w:rPr>
              <w:t>μPa.s]</w:t>
            </w:r>
          </w:p>
        </w:tc>
      </w:tr>
      <w:tr>
        <w:trPr>
          <w:trHeight w:val="180" w:hRule="atLeast"/>
        </w:trPr>
        <w:tc>
          <w:tcPr>
            <w:tcW w:w="12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 xml:space="preserve">fuel </w:t>
            </w:r>
          </w:p>
        </w:tc>
        <w:tc>
          <w:tcPr>
            <w:tcW w:w="107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vertAlign w:val="baseline"/>
              </w:rPr>
            </w:pPr>
            <w:r>
              <w:rPr>
                <w:rFonts w:cs="Times New Roman" w:ascii="Times new roman" w:hAnsi="Times new roman"/>
                <w:position w:val="0"/>
                <w:sz w:val="24"/>
                <w:sz w:val="24"/>
                <w:vertAlign w:val="baseline"/>
              </w:rPr>
              <w:t>2705</w:t>
            </w:r>
          </w:p>
        </w:tc>
        <w:tc>
          <w:tcPr>
            <w:tcW w:w="27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0.892 +</w:t>
            </w:r>
          </w:p>
          <w:p>
            <w:pPr>
              <w:pStyle w:val="Normal"/>
              <w:tabs>
                <w:tab w:val="left" w:pos="0" w:leader="none"/>
                <w:tab w:val="left" w:pos="284" w:leader="none"/>
              </w:tabs>
              <w:spacing w:before="40" w:after="40"/>
              <w:jc w:val="left"/>
              <w:rPr/>
            </w:pPr>
            <w:r>
              <w:rPr>
                <w:rFonts w:cs="Times New Roman" w:ascii="Times new roman" w:hAnsi="Times new roman"/>
                <w:sz w:val="24"/>
                <w:szCs w:val="24"/>
              </w:rPr>
              <w:t>4.44361</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+ 3.632</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-8</w:t>
            </w:r>
            <w:r>
              <w:rPr>
                <w:rFonts w:cs="Times New Roman" w:ascii="Times new roman" w:hAnsi="Times new roman"/>
                <w:i/>
                <w:iCs/>
                <w:sz w:val="24"/>
                <w:szCs w:val="24"/>
              </w:rPr>
              <w:t>T</w:t>
            </w:r>
            <w:r>
              <w:rPr>
                <w:rFonts w:cs="Times New Roman" w:ascii="Times new roman" w:hAnsi="Times new roman"/>
                <w:sz w:val="24"/>
                <w:szCs w:val="24"/>
                <w:vertAlign w:val="superscript"/>
              </w:rPr>
              <w:t>2</w:t>
            </w:r>
          </w:p>
        </w:tc>
        <w:tc>
          <w:tcPr>
            <w:tcW w:w="233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223.7 -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4.756</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–2</w:t>
            </w:r>
            <w:r>
              <w:rPr>
                <w:rFonts w:ascii="Times new roman" w:hAnsi="Times new roman"/>
                <w:i/>
                <w:iCs/>
                <w:position w:val="0"/>
                <w:sz w:val="24"/>
                <w:sz w:val="24"/>
                <w:szCs w:val="24"/>
                <w:vertAlign w:val="baseline"/>
              </w:rPr>
              <w:t>T</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1.0215</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-5</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2</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1.8887</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-11</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3</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cladding</w:t>
            </w:r>
          </w:p>
        </w:tc>
        <w:tc>
          <w:tcPr>
            <w:tcW w:w="107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rPr>
            </w:pPr>
            <w:r>
              <w:rPr>
                <w:rFonts w:cs="Times New Roman" w:ascii="Times new roman" w:hAnsi="Times new roman"/>
              </w:rPr>
              <w:t>6280</w:t>
            </w:r>
          </w:p>
        </w:tc>
        <w:tc>
          <w:tcPr>
            <w:tcW w:w="2700"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0.294 +</w:t>
            </w:r>
          </w:p>
          <w:p>
            <w:pPr>
              <w:pStyle w:val="Normal"/>
              <w:tabs>
                <w:tab w:val="left" w:pos="0" w:leader="none"/>
                <w:tab w:val="left" w:pos="284" w:leader="none"/>
              </w:tabs>
              <w:spacing w:before="40" w:after="40"/>
              <w:jc w:val="left"/>
              <w:rPr/>
            </w:pPr>
            <w:r>
              <w:rPr>
                <w:rFonts w:cs="Times New Roman" w:ascii="Times new roman" w:hAnsi="Times new roman"/>
                <w:sz w:val="24"/>
                <w:szCs w:val="24"/>
              </w:rPr>
              <w:t>6.196</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w:t>
            </w:r>
          </w:p>
          <w:p>
            <w:pPr>
              <w:pStyle w:val="Normal"/>
              <w:tabs>
                <w:tab w:val="left" w:pos="0" w:leader="none"/>
                <w:tab w:val="left" w:pos="284" w:leader="none"/>
              </w:tabs>
              <w:spacing w:before="40" w:after="40"/>
              <w:jc w:val="left"/>
              <w:rPr/>
            </w:pPr>
            <w:r>
              <w:rPr>
                <w:rFonts w:cs="Times New Roman" w:ascii="Times new roman" w:hAnsi="Times new roman"/>
                <w:sz w:val="24"/>
                <w:szCs w:val="24"/>
              </w:rPr>
              <w:t>2.748</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-9</w:t>
            </w:r>
            <w:r>
              <w:rPr>
                <w:rFonts w:cs="Times New Roman" w:ascii="Times new roman" w:hAnsi="Times new roman"/>
                <w:i/>
                <w:iCs/>
                <w:sz w:val="24"/>
                <w:szCs w:val="24"/>
              </w:rPr>
              <w:t>T</w:t>
            </w:r>
            <w:r>
              <w:rPr>
                <w:rFonts w:cs="Times New Roman" w:ascii="Times new roman" w:hAnsi="Times new roman"/>
                <w:sz w:val="24"/>
                <w:szCs w:val="24"/>
                <w:vertAlign w:val="superscript"/>
              </w:rPr>
              <w:t xml:space="preserve">2 </w:t>
            </w:r>
            <w:r>
              <w:rPr>
                <w:rFonts w:cs="Times New Roman" w:ascii="Times new roman" w:hAnsi="Times new roman"/>
                <w:sz w:val="24"/>
                <w:szCs w:val="24"/>
              </w:rPr>
              <w:t>+</w:t>
            </w:r>
          </w:p>
          <w:p>
            <w:pPr>
              <w:pStyle w:val="Normal"/>
              <w:tabs>
                <w:tab w:val="left" w:pos="0" w:leader="none"/>
                <w:tab w:val="left" w:pos="284" w:leader="none"/>
              </w:tabs>
              <w:spacing w:before="40" w:after="40"/>
              <w:jc w:val="left"/>
              <w:rPr/>
            </w:pPr>
            <w:r>
              <w:rPr>
                <w:rFonts w:cs="Times New Roman" w:ascii="Times new roman" w:hAnsi="Times new roman"/>
                <w:sz w:val="24"/>
                <w:szCs w:val="24"/>
              </w:rPr>
              <w:t>1.354</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-11</w:t>
            </w:r>
            <w:r>
              <w:rPr>
                <w:rFonts w:cs="Times New Roman" w:ascii="Times new roman" w:hAnsi="Times new roman"/>
                <w:i/>
                <w:iCs/>
                <w:sz w:val="24"/>
                <w:szCs w:val="24"/>
              </w:rPr>
              <w:t>T</w:t>
            </w:r>
            <w:r>
              <w:rPr>
                <w:rFonts w:cs="Times New Roman" w:ascii="Times new roman" w:hAnsi="Times new roman"/>
                <w:sz w:val="24"/>
                <w:szCs w:val="24"/>
                <w:vertAlign w:val="superscript"/>
              </w:rPr>
              <w:t>3</w:t>
            </w:r>
          </w:p>
        </w:tc>
        <w:tc>
          <w:tcPr>
            <w:tcW w:w="233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22.872 -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4.3131</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-2</w:t>
            </w:r>
            <w:r>
              <w:rPr>
                <w:rFonts w:cs="Times New Roman" w:ascii="Times new roman" w:hAnsi="Times new roman"/>
                <w:i/>
                <w:iCs/>
                <w:position w:val="0"/>
                <w:sz w:val="24"/>
                <w:sz w:val="24"/>
                <w:szCs w:val="24"/>
                <w:vertAlign w:val="baseline"/>
              </w:rPr>
              <w:t>T</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1.124</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-4</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2</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1.0039</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-11</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3</w:t>
            </w:r>
          </w:p>
        </w:tc>
        <w:tc>
          <w:tcPr>
            <w:tcW w:w="1801"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rPr>
              <w:t>coolant</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rPr>
            </w:pPr>
            <w:r>
              <w:rPr>
                <w:rFonts w:ascii="Times new roman" w:hAnsi="Times new roman"/>
              </w:rPr>
              <w:t>995</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sz w:val="24"/>
                <w:szCs w:val="24"/>
              </w:rPr>
              <w:t>4.18</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0.62</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jc w:val="left"/>
              <w:rPr/>
            </w:pPr>
            <w:r>
              <w:rPr/>
              <w:t>797</w:t>
            </w:r>
          </w:p>
        </w:tc>
      </w:tr>
    </w:tbl>
    <w:p>
      <w:pPr>
        <w:pStyle w:val="Normal"/>
        <w:tabs>
          <w:tab w:val="center" w:pos="4986" w:leader="none"/>
          <w:tab w:val="right" w:pos="9972" w:leader="none"/>
        </w:tabs>
        <w:jc w:val="both"/>
        <w:textAlignment w:val="center"/>
        <w:rPr/>
      </w:pPr>
      <w:r>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describes the problem to be solved. The simplest case for the present problem consists on the basic problem configuration: read the mesh, define the numerical formulation and choose the number of neutron groups for the problem. The next step is to define the macroscopic cross sections for each material (that may further depend on other functions of space such as temperature or poison concentration) matching the materials defined in the mesh. These cross sections are used in the solution of the diffusion equation and must match the material characteristics, like the diffusion coefficients, absorption macroscopic cross sections and scattering cross-sections. These definitions may be given as algebraic expressions of x, y and z, as point-wise defined functions of x, y and z or as a combination of both methods. After the definition of materials,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for the simplest case of spatially-uniform macroscopic cross sections. The material definitions (lines 10-16) are key: these values can be constants like in the example above but they can also be function of x, y and z. Had the cross sections depended on space, algebraic expressions would have appeared instead of constant values. This feature of </w:t>
      </w:r>
      <w:r>
        <w:rPr>
          <w:rFonts w:cs="Times New Roman" w:ascii="Times New Roman" w:hAnsi="Times New Roman"/>
          <w:i/>
          <w:iCs/>
        </w:rPr>
        <w:t>milonga</w:t>
      </w:r>
      <w:r>
        <w:rPr>
          <w:rFonts w:cs="Times New Roman" w:ascii="Times New Roman" w:hAnsi="Times New Roman"/>
        </w:rPr>
        <w:t xml:space="preserve"> plus the fact that it natively includes instructions to access POSIX named shared-memory segments and semaphores, makes coupling milonga to external codes straightforward.</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w:t>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48605" cy="25400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48605" cy="254000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Another key feature of </w:t>
      </w:r>
      <w:r>
        <w:rPr>
          <w:rFonts w:cs="Times New Roman" w:ascii="Times New Roman" w:hAnsi="Times New Roman"/>
          <w:i/>
          <w:iCs/>
        </w:rPr>
        <w:t xml:space="preserve">milonga </w:t>
      </w:r>
      <w:r>
        <w:rPr>
          <w:rFonts w:cs="Times New Roman" w:ascii="Times New Roman" w:hAnsi="Times New Roman"/>
          <w:i w:val="false"/>
          <w:iCs w:val="false"/>
        </w:rPr>
        <w:t xml:space="preserve">which makes external coupling straightforward is </w:t>
      </w:r>
      <w:r>
        <w:rPr>
          <w:rFonts w:cs="Times New Roman" w:ascii="Times New Roman" w:hAnsi="Times New Roman"/>
        </w:rPr>
        <w:t>that general multidimensional functions (and in particular functions that depend on space) can get data in a grid-wise manner from a set of arbitrary n+1-tuples containing the n independent variables plus the scalar data. The final feature is that these n+1 tuples can be read at run-time from a variety of computational resources, including input files, binary files and shared-memory objects. In particular, to have the corresponding values of cross-sections (and all other coefficients for the diffusion approximation) for each cell depending on other local properties that vary from cell to cell (i.e. temperatures, poison concentration, void fraction, etc.),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code modifications and technical aspects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2.4.1 Thermal-hydraulics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free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its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3"/>
        <w:t>*</w:t>
      </w:r>
      <w:r>
        <w:rPr>
          <w:rFonts w:cs="Times New Roman" w:ascii="Times New Roman" w:hAnsi="Times New Roman"/>
          <w:color w:val="000000"/>
        </w:rPr>
        <w:t xml:space="preserve"> modifications of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of a solid;</w:t>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the data structures for communicating through shared memory to the neutronics code.</w:t>
      </w:r>
    </w:p>
    <w:p>
      <w:pPr>
        <w:pStyle w:val="Normal"/>
        <w:ind w:left="780" w:hanging="0"/>
        <w:jc w:val="both"/>
        <w:rPr/>
      </w:pPr>
      <w:r>
        <w:rPr/>
      </w:r>
    </w:p>
    <w:p>
      <w:pPr>
        <w:pStyle w:val="Normal"/>
        <w:jc w:val="both"/>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data transformation from one mesh to another in the communication and calculations processes.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include a source-term. If the field is not present, a null default scalar field is created making the source-term zero.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coupling between codes was implemented using shared memory taking advantage of the already coded features of </w:t>
      </w:r>
      <w:r>
        <w:rPr>
          <w:rFonts w:cs="Times New Roman" w:ascii="Times New Roman" w:hAnsi="Times New Roman"/>
          <w:i/>
          <w:iCs/>
          <w:color w:val="000000"/>
        </w:rPr>
        <w:t xml:space="preserve">milonga </w:t>
      </w:r>
      <w:r>
        <w:rPr>
          <w:rFonts w:cs="Times New Roman" w:ascii="Times New Roman" w:hAnsi="Times New Roman"/>
          <w:color w:val="000000"/>
        </w:rPr>
        <w:t xml:space="preserve">to make use of it. Shared memory, in computer science, is a piece of memory that can be simultaneously accessed by different programs running in different user spaces. In order to keep read and write access to the shared memory consistent, a set of semaphores was implemented in the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neutronics program </w:t>
      </w:r>
      <w:r>
        <w:rPr>
          <w:rFonts w:cs="Times New Roman" w:ascii="Times New Roman" w:hAnsi="Times New Roman"/>
          <w:i/>
          <w:iCs/>
        </w:rPr>
        <w:t>milonga</w:t>
      </w:r>
      <w:r>
        <w:rPr>
          <w:rFonts w:cs="Times New Roman" w:ascii="Times New Roman" w:hAnsi="Times New Roman"/>
        </w:rPr>
        <w:t xml:space="preserve"> starts, creates the shared memory and halts until it is able to read the semaphore from thermal-hydraulic;</w:t>
      </w:r>
    </w:p>
    <w:p>
      <w:pPr>
        <w:pStyle w:val="Normal"/>
        <w:numPr>
          <w:ilvl w:val="0"/>
          <w:numId w:val="3"/>
        </w:numPr>
        <w:jc w:val="both"/>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neutronics.</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thermal-hydraulics through its semaphore that it can resume its calculations.</w:t>
      </w:r>
    </w:p>
    <w:p>
      <w:pPr>
        <w:pStyle w:val="Normal"/>
        <w:numPr>
          <w:ilvl w:val="0"/>
          <w:numId w:val="3"/>
        </w:numPr>
        <w:jc w:val="both"/>
        <w:rPr>
          <w:rFonts w:ascii="Times New Roman" w:hAnsi="Times New Roman" w:cs="Times New Roman"/>
        </w:rPr>
      </w:pPr>
      <w:r>
        <w:rPr>
          <w:rFonts w:cs="Times New Roman" w:ascii="Times New Roman" w:hAnsi="Times New Roman"/>
        </w:rPr>
        <w:t>From now on, thermal-hydraulic will use the power read from shared memory as a source-term in the energy equation for the solid fuel region. The calculations remain from following steps 3 and 4.</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The whole process goes until convergence of thermal-hydraulics. Figure 3 presents the coupling algorithm from the point of view of thermal-hydraulics in a schematic way. Blue commands are related to shared memory manipulation while purple commands control the access to shared memory.</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thermal-hydraulics/neutronics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to neutronics, based on the maximum number of sub-iterations for neutronics and thermal-hydraulics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type of memory access. Some works on coupled thermal-hydraulic and neutronic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nowadays.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neutronics and the CFD code share the same unstructured grid is an unique feature that makes it outstand over the other available core-level neutronic codes.</w:t>
      </w:r>
    </w:p>
    <w:p>
      <w:pPr>
        <w:pStyle w:val="Normal"/>
        <w:jc w:val="both"/>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564255" cy="39528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564255" cy="395287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3 - Thermal-hydraulic coupling algorithm schematic. Blue commands are related to shared memory manipulation while purple commands control the access to shared memory.</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2.4.2 Neutronics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coupling methodology establishes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as responsible for </w:t>
      </w:r>
      <w:r>
        <w:rPr>
          <w:rFonts w:cs="Times New Roman" w:ascii="Times New Roman" w:hAnsi="Times New Roman"/>
          <w:spacing w:val="-2"/>
        </w:rPr>
        <w:t>creating and destroying the shared memory segment used to exchange data, reading the temperature distribution from the thermal-hycraulics code, performing the computation of the neutron flux distribution and getting back the power distribution into the OpenFOAM solver.</w:t>
      </w:r>
      <w:r>
        <w:rPr>
          <w:rFonts w:cs="Times New Roman" w:ascii="Times New Roman" w:hAnsi="Times New Roman"/>
        </w:rPr>
        <w:t xml:space="preserve"> Figure 4 shows a pseudo-code representing the coupling scheme algorithm from </w:t>
      </w:r>
      <w:r>
        <w:rPr>
          <w:rFonts w:cs="Times New Roman" w:ascii="Times New Roman" w:hAnsi="Times New Roman"/>
          <w:i/>
          <w:iCs/>
        </w:rPr>
        <w:t>milonga</w:t>
      </w:r>
      <w:r>
        <w:rPr>
          <w:rFonts w:cs="Times New Roman" w:ascii="Times New Roman" w:hAnsi="Times New Roman"/>
          <w:iCs/>
        </w:rPr>
        <w:t>'</w:t>
      </w:r>
      <w:r>
        <w:rPr>
          <w:rFonts w:cs="Times New Roman" w:ascii="Times New Roman" w:hAnsi="Times New Roman"/>
        </w:rPr>
        <w:t>s perspective. Commands in blue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After solving the diffusion approximation and having the function for the flux, </w:t>
      </w:r>
      <w:r>
        <w:rPr>
          <w:rFonts w:cs="Times New Roman" w:ascii="Times New Roman" w:hAnsi="Times New Roman"/>
          <w:i/>
          <w:iCs/>
        </w:rPr>
        <w:t>milonga</w:t>
      </w:r>
      <w:r>
        <w:rPr>
          <w:rFonts w:cs="Times New Roman" w:ascii="Times New Roman" w:hAnsi="Times New Roman"/>
        </w:rPr>
        <w:t xml:space="preserve"> has a primitive to integrate the flux over the mesh for a reference power. This value is defined previously in </w:t>
      </w:r>
      <w:r>
        <w:rPr>
          <w:rFonts w:cs="Times New Roman" w:ascii="Times New Roman" w:hAnsi="Times New Roman"/>
          <w:i/>
        </w:rPr>
        <w:t>milonga</w:t>
      </w:r>
      <w:r>
        <w:rPr>
          <w:rFonts w:cs="Times New Roman" w:ascii="Times New Roman" w:hAnsi="Times New Roman"/>
        </w:rPr>
        <w:t xml:space="preserve">'s input file. The power obtained for each cell is thus written in the shared memory, making the power available for the </w:t>
      </w:r>
      <w:r>
        <w:rPr>
          <w:rFonts w:cs="Times New Roman" w:ascii="Times New Roman" w:hAnsi="Times New Roman"/>
          <w:i/>
          <w:iCs/>
        </w:rPr>
        <w:t>OpenFOAM</w:t>
      </w:r>
      <w:r>
        <w:rPr>
          <w:rFonts w:cs="Times New Roman" w:ascii="Times New Roman" w:hAnsi="Times New Roman"/>
        </w:rPr>
        <w:t xml:space="preserve"> solver. After this point, the coupling cycle is completed and will continue until thermal-hydraulic calculations converge. It is worth noting that </w:t>
      </w:r>
      <w:r>
        <w:rPr>
          <w:rFonts w:cs="Times New Roman" w:ascii="Times New Roman" w:hAnsi="Times New Roman"/>
          <w:i/>
          <w:iCs/>
        </w:rPr>
        <w:t>milonga</w:t>
      </w:r>
      <w:r>
        <w:rPr>
          <w:rFonts w:cs="Times New Roman" w:ascii="Times New Roman" w:hAnsi="Times New Roman"/>
        </w:rPr>
        <w:t xml:space="preserve"> does not need any modification or re-compilation in order to be coupled using shared memory. Everything is done </w:t>
      </w:r>
      <w:r>
        <w:rPr>
          <w:rFonts w:cs="Times New Roman" w:ascii="Times New Roman" w:hAnsi="Times New Roman"/>
          <w:color w:val="000000"/>
        </w:rPr>
        <w:t>through the input file and interpreted during run-time</w:t>
      </w:r>
      <w:r>
        <w:rPr>
          <w:rFonts w:cs="Times New Roman" w:ascii="Times New Roman" w:hAnsi="Times New Roman"/>
          <w:color w:val="0000FF"/>
        </w:rPr>
        <w:t>.</w:t>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73170" cy="531876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773170" cy="531876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rPr/>
      </w:pPr>
      <w:r>
        <w:rPr>
          <w:rFonts w:cs="Times New Roman" w:ascii="Times New Roman" w:hAnsi="Times New Roman"/>
          <w:b/>
          <w:color w:val="000000"/>
        </w:rPr>
        <w:t>2.5 Physical and numerical model</w:t>
      </w:r>
    </w:p>
    <w:p>
      <w:pPr>
        <w:pStyle w:val="Normal"/>
        <w:rPr>
          <w:rFonts w:ascii="Times New Roman" w:hAnsi="Times New Roman" w:cs="Times New Roman"/>
          <w:b/>
          <w:b/>
          <w:color w:val="000000"/>
        </w:rPr>
      </w:pPr>
      <w:r>
        <w:rPr>
          <w:rFonts w:cs="Times New Roman" w:ascii="Times New Roman" w:hAnsi="Times New Roman"/>
          <w:b/>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coupled methodology was assessed simulating a fuel element of the TRIGA IPR-R1 reactor, located at the Centro de Desenvolvimento da Tecnologia Nuclear (CDTN), Belo Horizonte – MG, Brazil. The TRIGA fuel has strong reactivity sensitivity with temperature due to the presence of zirconium hydride. This characteristic allows that small temperature differences result in perceivable neutronic variations which makes this model adequate to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rPr/>
      </w:pPr>
      <w:r>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for the model matches the ratio of the full reactor. No other solid structures like samarium disks or structural elements were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An axially extruded unstructured mesh was generated for this work using </w:t>
      </w:r>
      <w:r>
        <w:rPr>
          <w:rFonts w:cs="Times New Roman" w:ascii="Times New Roman" w:hAnsi="Times New Roman"/>
          <w:i/>
          <w:iCs/>
        </w:rPr>
        <w:t>Gmsh</w:t>
      </w:r>
      <w:r>
        <w:rPr>
          <w:rFonts w:cs="Times New Roman" w:ascii="Times New Roman" w:hAnsi="Times New Roman"/>
        </w:rPr>
        <w:t xml:space="preserve"> (Geuzaine and Remacle, 2009) which is a free software for two or three-dimensional unstructured mesh generation compatible with both </w:t>
      </w:r>
      <w:r>
        <w:rPr>
          <w:rFonts w:cs="Times New Roman" w:ascii="Times New Roman" w:hAnsi="Times New Roman"/>
          <w:i/>
          <w:iCs/>
        </w:rPr>
        <w:t xml:space="preserve">OpenFOAM </w:t>
      </w:r>
      <w:r>
        <w:rPr>
          <w:rFonts w:cs="Times New Roman" w:ascii="Times New Roman" w:hAnsi="Times New Roman"/>
        </w:rPr>
        <w:t xml:space="preserve">and </w:t>
      </w:r>
      <w:r>
        <w:rPr>
          <w:rFonts w:cs="Times New Roman" w:ascii="Times New Roman" w:hAnsi="Times New Roman"/>
          <w:i/>
          <w:iCs/>
        </w:rPr>
        <w:t>milonga</w:t>
      </w:r>
      <w:r>
        <w:rPr>
          <w:rFonts w:cs="Times New Roman" w:ascii="Times New Roman" w:hAnsi="Times New Roman"/>
        </w:rPr>
        <w:t xml:space="preserve">. A 2D mesh representing a traversal section of the domain was generated with a global maximum mesh size of 4.0 mm for the whole domain and a 0.3 mm local sizing for the thinnest region of the domain, represented by the cladding, with a growing ratio of 1.2. These parameters resulted in a smoothly grown mesh for the 2D plane. The 3D mesh was completed by the extrusion of 35 layers. The total number of mesh elements is 346,675. A cut showing each material of the generated mesh can be seen in Figure 5. An isometric view of it indicating fluid and solid regions together with boundaries in shown in Figure 6. </w:t>
      </w:r>
    </w:p>
    <w:p>
      <w:pPr>
        <w:pStyle w:val="Normal"/>
        <w:tabs>
          <w:tab w:val="left" w:pos="0" w:leader="none"/>
          <w:tab w:val="left" w:pos="284" w:leader="none"/>
        </w:tabs>
        <w:rPr/>
      </w:pPr>
      <w:r>
        <w:rPr/>
      </w:r>
    </w:p>
    <w:p>
      <w:pPr>
        <w:pStyle w:val="Normal"/>
        <w:tabs>
          <w:tab w:val="left" w:pos="0" w:leader="none"/>
          <w:tab w:val="left" w:pos="284" w:leader="none"/>
        </w:tabs>
        <w:jc w:val="center"/>
        <w:rPr/>
      </w:pPr>
      <w:r>
        <w:rPr/>
        <w:drawing>
          <wp:inline distT="0" distB="0" distL="0" distR="0">
            <wp:extent cx="6326505" cy="322135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6326505" cy="3221355"/>
                    </a:xfrm>
                    <a:prstGeom prst="rect">
                      <a:avLst/>
                    </a:prstGeom>
                  </pic:spPr>
                </pic:pic>
              </a:graphicData>
            </a:graphic>
          </wp:inline>
        </w:drawing>
      </w:r>
      <w:r>
        <w:rPr>
          <w:rFonts w:cs="Times New Roman" w:ascii="Times New Roman" w:hAnsi="Times New Roman"/>
          <w:b/>
          <w:bCs/>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 simplified mesh problem was selected for this work due to computational limitations. Simulations were performed on one computer as, at the present time, the software is not implemented for parallel simulation.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setup for thermal-hydraulics and neutronics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2.5.1 Thermal-hydraulic boundary conditions and numerical parameters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5.</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rFonts w:ascii="Times New Roman" w:hAnsi="Times New Roman" w:cs="Times New Roman"/>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29045" cy="321818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29045" cy="321818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6 - External boundaries for the CFD problems.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5. Main boundary conditions used for thermal-hydraulic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Region</w:t>
            </w:r>
          </w:p>
        </w:tc>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Boundary</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ins w:id="0"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k</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ins w:id="1"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eps</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p_rgh</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Q</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2.276e+07 [W/m³]</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symmetry boundary is a special type of boundary condition. It is defined in the mesh file as symmetry and it works as if the other side of the boundary has an identical field. In a tridimensional mesh, the symmetry boundary is a surface. Another special kind of boundary is the surface between regions. These surfaces are created during the split of the general mesh and are assigned specific boundary conditions accordingly to the type of region by </w:t>
      </w:r>
      <w:r>
        <w:rPr>
          <w:rFonts w:cs="Times New Roman" w:ascii="Times New Roman" w:hAnsi="Times New Roman"/>
          <w:i/>
          <w:iCs/>
        </w:rPr>
        <w:t>OpenFOAM</w:t>
      </w:r>
      <w:r>
        <w:rPr>
          <w:rFonts w:cs="Times New Roman" w:ascii="Times New Roman" w:hAnsi="Times New Roman"/>
        </w:rPr>
        <w:t xml:space="preserve">, mostly in a default way.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rPr>
        <w:t>OpenFOAM</w:t>
      </w:r>
      <w:r>
        <w:rPr>
          <w:rFonts w:cs="Times New Roman" w:ascii="Times New Roman" w:hAnsi="Times New Roman"/>
        </w:rPr>
        <w:t xml:space="preserve"> can be found in its documentation (</w:t>
      </w:r>
      <w:r>
        <w:rPr>
          <w:rFonts w:cs="Times New Roman" w:ascii="Times New Roman" w:hAnsi="Times New Roman"/>
          <w:i/>
          <w:iCs/>
        </w:rPr>
        <w:t>OpenFOAM</w:t>
      </w:r>
      <w:r>
        <w:rPr>
          <w:rFonts w:cs="Times New Roman" w:ascii="Times New Roman" w:hAnsi="Times New Roman"/>
        </w:rPr>
        <w:t xml:space="preserve">, 2015). The fluid flow is considered turbulent based on IPR-R1 TRIGA reactor usual operating condition (Veloso, 2005) and the standard </w:t>
      </w:r>
      <w:r>
        <w:rPr>
          <w:rFonts w:cs="FreeSerif" w:ascii="FreeSerif" w:hAnsi="FreeSerif"/>
        </w:rPr>
        <w:t>κ-ε</w:t>
      </w:r>
      <w:r>
        <w:rPr>
          <w:rFonts w:cs="Times New Roman" w:ascii="Times New Roman" w:hAnsi="Times New Roman"/>
        </w:rPr>
        <w:t xml:space="preserve"> model (</w:t>
      </w:r>
      <w:r>
        <w:rPr/>
        <w:t>Launder and Spalding, 1974)</w:t>
      </w:r>
      <w:r>
        <w:rPr>
          <w:rFonts w:cs="Times New Roman" w:ascii="Times New Roman" w:hAnsi="Times New Roman"/>
        </w:rPr>
        <w:t xml:space="preserve"> is used for modeling it.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Simulations were performed using second order discretizations schemes for all equation terms except the divergence, as shown in Table 6. A first order scheme was used for divergence to accelerate and facilitate the numerical convergence, as the results are for a proof-of-concept and an added </w:t>
      </w:r>
      <w:r>
        <w:rPr>
          <w:rFonts w:cs="Times New Roman" w:ascii="Times New Roman" w:hAnsi="Times New Roman"/>
          <w:color w:val="000000"/>
        </w:rPr>
        <w:t>false diffusion</w:t>
      </w:r>
      <w:r>
        <w:rPr>
          <w:rFonts w:cs="Times New Roman" w:ascii="Times New Roman" w:hAnsi="Times New Roman"/>
        </w:rPr>
        <w:t xml:space="preserve"> will not interfere with the study’s conclusion. </w:t>
      </w:r>
    </w:p>
    <w:p>
      <w:pPr>
        <w:pStyle w:val="Normal"/>
        <w:tabs>
          <w:tab w:val="left" w:pos="0" w:leader="none"/>
          <w:tab w:val="left" w:pos="284" w:leader="none"/>
        </w:tabs>
        <w:jc w:val="both"/>
        <w:rPr>
          <w:rFonts w:ascii="Times New Roman" w:hAnsi="Times New Roman" w:cs="Times New Roman"/>
          <w:i/>
          <w:i/>
          <w:iCs/>
        </w:rPr>
      </w:pPr>
      <w:r>
        <w:rPr>
          <w:rFonts w:cs="Times New Roman" w:ascii="Times New Roman" w:hAnsi="Times New Roman"/>
          <w:i/>
          <w:iCs/>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(2015) allows the use of different discretization schemes for each region and also for each equation term.  Utilized matrix solvers and convergence criteria are presented in Table 7.</w:t>
      </w:r>
    </w:p>
    <w:p>
      <w:pPr>
        <w:pStyle w:val="Normal"/>
        <w:tabs>
          <w:tab w:val="left" w:pos="0" w:leader="none"/>
          <w:tab w:val="left" w:pos="284" w:leader="none"/>
        </w:tabs>
        <w:jc w:val="both"/>
        <w:rPr>
          <w:rFonts w:cs="Times New Roman"/>
        </w:rPr>
      </w:pPr>
      <w:r>
        <w:rPr>
          <w:rFonts w:cs="Times New Roman"/>
        </w:rPr>
      </w:r>
    </w:p>
    <w:p>
      <w:pPr>
        <w:pStyle w:val="Textoindependiente31"/>
        <w:tabs>
          <w:tab w:val="left" w:pos="0" w:leader="none"/>
          <w:tab w:val="left" w:pos="284" w:leader="none"/>
        </w:tabs>
        <w:jc w:val="center"/>
        <w:rPr/>
      </w:pPr>
      <w:r>
        <w:rPr>
          <w:b/>
        </w:rPr>
        <w:t>Table 6.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cs="Times New Roman"/>
              </w:rPr>
            </w:pPr>
            <w:r>
              <w:rPr>
                <w:rFonts w:cs="Times New Roman" w:ascii="Times New Roman" w:hAnsi="Times New Roman"/>
              </w:rPr>
            </w:r>
          </w:p>
        </w:tc>
        <w:tc>
          <w:tcPr>
            <w:tcW w:w="7404" w:type="dxa"/>
            <w:gridSpan w:val="5"/>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Region \ Eq. term</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bl>
    <w:p>
      <w:pPr>
        <w:pStyle w:val="Normal"/>
        <w:rPr/>
      </w:pPr>
      <w:r>
        <w:rPr/>
      </w:r>
    </w:p>
    <w:p>
      <w:pPr>
        <w:pStyle w:val="Normal"/>
        <w:tabs>
          <w:tab w:val="left" w:pos="0" w:leader="none"/>
          <w:tab w:val="left" w:pos="284" w:leader="none"/>
        </w:tabs>
        <w:rPr/>
      </w:pPr>
      <w:r>
        <w:rPr>
          <w:rFonts w:cs="Times New Roman" w:ascii="Times New Roman" w:hAnsi="Times New Roman"/>
          <w:color w:val="000000"/>
        </w:rPr>
        <w:t xml:space="preserve">A simulation using the same geometry, mesh and setup was performed using </w:t>
      </w:r>
      <w:r>
        <w:rPr>
          <w:rFonts w:cs="Times New Roman" w:ascii="Times New Roman" w:hAnsi="Times New Roman"/>
          <w:i/>
          <w:iCs/>
          <w:color w:val="000000"/>
        </w:rPr>
        <w:t xml:space="preserve">milonga </w:t>
      </w:r>
      <w:r>
        <w:rPr>
          <w:rFonts w:cs="Times New Roman" w:ascii="Times New Roman" w:hAnsi="Times New Roman"/>
          <w:color w:val="000000"/>
        </w:rPr>
        <w:t xml:space="preserve">to provide a non-uniform power distribution of power to be used as input by </w:t>
      </w:r>
      <w:r>
        <w:rPr>
          <w:rFonts w:cs="Times New Roman" w:ascii="Times New Roman" w:hAnsi="Times New Roman"/>
          <w:i/>
          <w:iCs/>
          <w:color w:val="000000"/>
        </w:rPr>
        <w:t xml:space="preserve">OpenFOAM </w:t>
      </w:r>
      <w:r>
        <w:rPr>
          <w:rFonts w:cs="Times New Roman" w:ascii="Times New Roman" w:hAnsi="Times New Roman"/>
          <w:color w:val="000000"/>
        </w:rPr>
        <w:t>(Silva et al, 2016). The results of this work show that the setup is robust to simulations in the range of power distributions encompassing the value of power used in the current work, thus avoiding eventual calculations errors derived from boundary and initial conditions.</w:t>
      </w:r>
    </w:p>
    <w:p>
      <w:pPr>
        <w:pStyle w:val="Normal"/>
        <w:tabs>
          <w:tab w:val="left" w:pos="0" w:leader="none"/>
          <w:tab w:val="left" w:pos="284" w:leader="none"/>
        </w:tabs>
        <w:jc w:val="center"/>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b/>
        </w:rPr>
        <w:t>Table 7.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988"/>
        <w:gridCol w:w="4502"/>
        <w:gridCol w:w="1448"/>
        <w:gridCol w:w="1549"/>
      </w:tblGrid>
      <w:tr>
        <w:trPr/>
        <w:tc>
          <w:tcPr>
            <w:tcW w:w="98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450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solver</w:t>
            </w:r>
          </w:p>
        </w:tc>
        <w:tc>
          <w:tcPr>
            <w:tcW w:w="144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Convergence criteria</w:t>
            </w:r>
          </w:p>
        </w:tc>
        <w:tc>
          <w:tcPr>
            <w:tcW w:w="154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i/>
                <w:i/>
                <w:iCs/>
              </w:rPr>
            </w:pPr>
            <w:r>
              <w:rPr>
                <w:rFonts w:cs="Times New Roman" w:ascii="Times New Roman" w:hAnsi="Times New Roman"/>
                <w:i/>
                <w:iCs/>
              </w:rPr>
              <w:t>h</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ρ</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U</w:t>
            </w:r>
          </w:p>
        </w:tc>
        <w:tc>
          <w:tcPr>
            <w:tcW w:w="4502" w:type="dxa"/>
            <w:vMerge w:val="restart"/>
            <w:tcBorders>
              <w:top w:val="single" w:sz="16" w:space="0" w:color="00000A"/>
              <w:bottom w:val="single" w:sz="16" w:space="0" w:color="00000A"/>
              <w:insideH w:val="single" w:sz="16"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8"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κ</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ε</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bl>
    <w:p>
      <w:pPr>
        <w:pStyle w:val="ListParagraph"/>
        <w:numPr>
          <w:ilvl w:val="0"/>
          <w:numId w:val="0"/>
        </w:numPr>
        <w:tabs>
          <w:tab w:val="left" w:pos="0" w:leader="none"/>
          <w:tab w:val="left" w:pos="284" w:leader="none"/>
        </w:tabs>
        <w:ind w:left="1500" w:hanging="0"/>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b/>
          <w:bCs/>
          <w:color w:val="000000"/>
        </w:rPr>
        <w:t>2.5.2 Neutronic boundary conditions</w:t>
      </w:r>
    </w:p>
    <w:p>
      <w:pPr>
        <w:pStyle w:val="Normal"/>
        <w:rPr>
          <w:rFonts w:ascii="Times New Roman" w:hAnsi="Times New Roman" w:cs="Times New Roman"/>
          <w:b/>
          <w:b/>
          <w:bCs/>
          <w:color w:val="000000"/>
        </w:rPr>
      </w:pPr>
      <w:r>
        <w:rPr>
          <w:rFonts w:cs="Times New Roman" w:ascii="Times New Roman" w:hAnsi="Times New Roman"/>
          <w:b/>
          <w:bCs/>
          <w:color w:val="000000"/>
        </w:rPr>
      </w:r>
    </w:p>
    <w:p>
      <w:pPr>
        <w:pStyle w:val="Normal"/>
        <w:tabs>
          <w:tab w:val="left" w:pos="0" w:leader="none"/>
          <w:tab w:val="left" w:pos="284" w:leader="none"/>
        </w:tabs>
        <w:rPr/>
      </w:pPr>
      <w:r>
        <w:rPr>
          <w:rFonts w:cs="Times New Roman" w:ascii="Times New Roman" w:hAnsi="Times New Roman"/>
          <w:color w:val="000000"/>
        </w:rPr>
        <w:t>Milonga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8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jc w:val="center"/>
        <w:rPr>
          <w:rFonts w:ascii="Times new roman" w:hAnsi="Times new roma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3445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332220" cy="3344545"/>
                    </a:xfrm>
                    <a:prstGeom prst="rect">
                      <a:avLst/>
                    </a:prstGeom>
                  </pic:spPr>
                </pic:pic>
              </a:graphicData>
            </a:graphic>
          </wp:anchor>
        </w:drawing>
      </w:r>
      <w:r>
        <w:rPr>
          <w:rFonts w:ascii="Times new roman" w:hAnsi="Times new roman"/>
          <w:b/>
          <w:bCs/>
        </w:rPr>
        <w:t>F</w:t>
      </w:r>
      <w:r>
        <w:rPr>
          <w:rFonts w:ascii="Times new roman" w:hAnsi="Times new roman"/>
          <w:b/>
          <w:bCs/>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keepNext/>
        <w:jc w:val="center"/>
        <w:rPr/>
      </w:pPr>
      <w:r>
        <w:rPr>
          <w:b/>
        </w:rPr>
        <w:t>Table 8.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Boundary</w:t>
            </w:r>
          </w:p>
        </w:tc>
        <w:tc>
          <w:tcPr>
            <w:tcW w:w="25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Type</w:t>
            </w:r>
          </w:p>
        </w:tc>
        <w:tc>
          <w:tcPr>
            <w:tcW w:w="36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inlet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Cladding and</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was run in standalone mode with a constant power value 7.93 kW. This power value is chosen based on the proportional power of the hottest fuel element of TRIGA IPR-R1 (Veloso, 2005) considering the reactor operating at 200 kW. After the simulation, the average temperature for each material is calculated. These averaged temperatures are shown in Table 9.</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rPr>
          <w:rFonts w:cs="Times New Roman" w:ascii="Times New Roman" w:hAnsi="Times New Roman"/>
          <w:b/>
          <w:bCs/>
          <w:sz w:val="28"/>
          <w:szCs w:val="28"/>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Non-coupled case: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are run separately with constant distributions for temperature and power.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Coupled case: in this case, </w:t>
      </w:r>
      <w:r>
        <w:rPr>
          <w:rFonts w:cs="Times New Roman" w:ascii="Times New Roman" w:hAnsi="Times New Roman"/>
          <w:i/>
          <w:iCs/>
        </w:rPr>
        <w:t>OpenFOAM</w:t>
      </w:r>
      <w:r>
        <w:rPr>
          <w:rFonts w:cs="Times New Roman" w:ascii="Times New Roman" w:hAnsi="Times New Roman"/>
        </w:rPr>
        <w:t xml:space="preserve"> writes cells temperatures to the shared memory segment while reads power from it and</w:t>
      </w:r>
      <w:r>
        <w:rPr>
          <w:rFonts w:cs="Times New Roman" w:ascii="Times New Roman" w:hAnsi="Times New Roman"/>
          <w:i/>
          <w:iCs/>
        </w:rPr>
        <w:t xml:space="preserve"> milonga</w:t>
      </w:r>
      <w:r>
        <w:rPr>
          <w:rFonts w:cs="Times New Roman" w:ascii="Times New Roman" w:hAnsi="Times New Roman"/>
          <w:iCs/>
        </w:rPr>
        <w:t xml:space="preserve"> </w:t>
      </w:r>
      <w:r>
        <w:rPr>
          <w:rFonts w:cs="Times New Roman" w:ascii="Times New Roman" w:hAnsi="Times New Roman"/>
        </w:rPr>
        <w:t>reads temperatures from the shared memory segment and writes power to it. In order to store data in a shared-memory segment, a 1d-vector is made up from the mesh with all the scalars, and this vector is written/read in/from the shared memory segment.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9. Averaged temperatures [K] for materials after standalone thermal-hydraulic simulations</w:t>
      </w:r>
    </w:p>
    <w:tbl>
      <w:tblPr>
        <w:tblW w:w="8417" w:type="dxa"/>
        <w:jc w:val="left"/>
        <w:tblInd w:w="871"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4424"/>
        <w:gridCol w:w="3992"/>
      </w:tblGrid>
      <w:tr>
        <w:trPr/>
        <w:tc>
          <w:tcPr>
            <w:tcW w:w="442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pPr>
            <w:r>
              <w:rPr/>
              <w:t>Material</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Simulation power 7.93 [kW]</w:t>
            </w:r>
          </w:p>
        </w:tc>
      </w:tr>
      <w:tr>
        <w:trPr>
          <w:trHeight w:val="180" w:hRule="atLeast"/>
        </w:trPr>
        <w:tc>
          <w:tcPr>
            <w:tcW w:w="442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423.0 [K]</w:t>
            </w:r>
          </w:p>
        </w:tc>
      </w:tr>
      <w:tr>
        <w:trPr>
          <w:trHeight w:val="412" w:hRule="atLeast"/>
        </w:trPr>
        <w:tc>
          <w:tcPr>
            <w:tcW w:w="442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375.4 [K]</w:t>
            </w:r>
          </w:p>
        </w:tc>
      </w:tr>
      <w:tr>
        <w:trPr>
          <w:trHeight w:val="412" w:hRule="atLeast"/>
        </w:trPr>
        <w:tc>
          <w:tcPr>
            <w:tcW w:w="442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water/moderator</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  </w:t>
      </w:r>
    </w:p>
    <w:p>
      <w:pPr>
        <w:pStyle w:val="Normal"/>
        <w:tabs>
          <w:tab w:val="left" w:pos="0" w:leader="none"/>
          <w:tab w:val="left" w:pos="284" w:leader="none"/>
        </w:tabs>
        <w:jc w:val="both"/>
        <w:rPr/>
      </w:pPr>
      <w:r>
        <w:rPr>
          <w:rFonts w:cs="Times New Roman" w:ascii="Times New Roman" w:hAnsi="Times New Roman"/>
        </w:rPr>
        <w:t xml:space="preserve">These temperatures were used to feed </w:t>
      </w:r>
      <w:r>
        <w:rPr>
          <w:rFonts w:cs="Times New Roman" w:ascii="Times New Roman" w:hAnsi="Times New Roman"/>
          <w:i/>
          <w:iCs/>
        </w:rPr>
        <w:t>milonga</w:t>
      </w:r>
      <w:r>
        <w:rPr>
          <w:rFonts w:cs="Times New Roman" w:ascii="Times New Roman" w:hAnsi="Times New Roman"/>
        </w:rPr>
        <w:t xml:space="preserve"> for a non-coupled simulation. The set of temperatures was used to generate fixed cross-sections, interpolated from the data obtained previously from Serpent. The non-coupled simulation gives a power distribution which is then used by </w:t>
      </w:r>
      <w:r>
        <w:rPr>
          <w:rFonts w:cs="Times New Roman" w:ascii="Times New Roman" w:hAnsi="Times New Roman"/>
          <w:i/>
          <w:iCs/>
        </w:rPr>
        <w:t>OpenFOAM</w:t>
      </w:r>
      <w:r>
        <w:rPr>
          <w:rFonts w:cs="Times New Roman" w:ascii="Times New Roman" w:hAnsi="Times New Roman"/>
        </w:rPr>
        <w:t xml:space="preserve"> as initial condition. This non-coupled simulation used as reference by the coupled simulations can be seen, in fact, as a special case of an initial condition externally coupled calculation. The use of this somehow detailed initial condition field for the power distribution allows to focus the assessment of the coupling methodology on the difference between the non-coupled and coupled simulations, since the initial condition for thermal-hydraulics is already the solution of the diffusion equation for neutrons for the fixed set of cross-sections.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Figure 8 shows temperature and power radially distributed for both coupled and non-coupled simulations while in Figure 9 the axial temperature and power distributions are depicted. Results show an expected behavior: flattened profiles for temperature and power for coupled calculations, indicating the coupling was successfully achieved. The steps presented in the radial plot in Figure 8 are expected and due to the interface between different materials. The difference between coupled and non-coupled calculations shows that locally variations in temperature can have a sensible influence in cross-sections variations and, therefore in the power distribution. This behavior is the expected for the well-known TRIGA fuel elements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tbl>
      <w:tblPr>
        <w:tblW w:w="9972"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096260" cy="290893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3096260" cy="2908935"/>
                          </a:xfrm>
                          <a:prstGeom prst="rect">
                            <a:avLst/>
                          </a:prstGeom>
                        </pic:spPr>
                      </pic:pic>
                    </a:graphicData>
                  </a:graphic>
                </wp:anchor>
              </w:drawing>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096260" cy="290830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3096260" cy="2908300"/>
                          </a:xfrm>
                          <a:prstGeom prst="rect">
                            <a:avLst/>
                          </a:prstGeom>
                        </pic:spPr>
                      </pic:pic>
                    </a:graphicData>
                  </a:graphic>
                </wp:anchor>
              </w:drawing>
            </w:r>
          </w:p>
        </w:tc>
      </w:tr>
    </w:tbl>
    <w:p>
      <w:pPr>
        <w:pStyle w:val="Normal"/>
        <w:tabs>
          <w:tab w:val="left" w:pos="0" w:leader="none"/>
          <w:tab w:val="left" w:pos="284" w:leader="none"/>
        </w:tabs>
        <w:jc w:val="center"/>
        <w:rPr/>
      </w:pPr>
      <w:bookmarkStart w:id="7" w:name="__DdeLink__1448_492658683"/>
      <w:bookmarkEnd w:id="7"/>
      <w:r>
        <w:rPr>
          <w:rFonts w:cs="Times New Roman" w:ascii="Times New Roman" w:hAnsi="Times New Roman"/>
          <w:b/>
          <w:bCs/>
        </w:rPr>
        <w:t>Figure 8: Temperature and power in radial directions for coupled and non-coupled simulations.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tbl>
      <w:tblPr>
        <w:tblW w:w="9945" w:type="dxa"/>
        <w:jc w:val="left"/>
        <w:tblInd w:w="36" w:type="dxa"/>
        <w:tblBorders/>
        <w:tblCellMar>
          <w:top w:w="0" w:type="dxa"/>
          <w:left w:w="0" w:type="dxa"/>
          <w:bottom w:w="0" w:type="dxa"/>
          <w:right w:w="0" w:type="dxa"/>
        </w:tblCellMar>
        <w:tblLook w:val="04a0" w:noVBand="1" w:noHBand="0" w:lastColumn="0" w:firstColumn="1" w:lastRow="0" w:firstRow="1"/>
      </w:tblPr>
      <w:tblGrid>
        <w:gridCol w:w="9945"/>
      </w:tblGrid>
      <w:tr>
        <w:trPr/>
        <w:tc>
          <w:tcPr>
            <w:tcW w:w="9945" w:type="dxa"/>
            <w:tcBorders/>
            <w:shd w:color="auto" w:fill="FFFFFF" w:val="clear"/>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15075" cy="294830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15075" cy="2948305"/>
                          </a:xfrm>
                          <a:prstGeom prst="rect">
                            <a:avLst/>
                          </a:prstGeom>
                        </pic:spPr>
                      </pic:pic>
                    </a:graphicData>
                  </a:graphic>
                </wp:anchor>
              </w:drawing>
            </w:r>
          </w:p>
        </w:tc>
      </w:tr>
      <w:tr>
        <w:trPr/>
        <w:tc>
          <w:tcPr>
            <w:tcW w:w="9945" w:type="dxa"/>
            <w:tcBorders/>
            <w:shd w:color="auto" w:fill="FFFFFF"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15075" cy="294830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315075" cy="2948305"/>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15075" cy="2945130"/>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3"/>
                          <a:stretch>
                            <a:fillRect/>
                          </a:stretch>
                        </pic:blipFill>
                        <pic:spPr bwMode="auto">
                          <a:xfrm>
                            <a:off x="0" y="0"/>
                            <a:ext cx="6315075" cy="2945130"/>
                          </a:xfrm>
                          <a:prstGeom prst="rect">
                            <a:avLst/>
                          </a:prstGeom>
                        </pic:spPr>
                      </pic:pic>
                    </a:graphicData>
                  </a:graphic>
                </wp:anchor>
              </w:drawing>
            </w:r>
          </w:p>
        </w:tc>
      </w:tr>
      <w:tr>
        <w:trPr>
          <w:trHeight w:val="346" w:hRule="atLeast"/>
        </w:trPr>
        <w:tc>
          <w:tcPr>
            <w:tcW w:w="9945" w:type="dxa"/>
            <w:tcBorders/>
            <w:shd w:color="auto" w:fill="FFFFFF" w:val="clear"/>
          </w:tcPr>
          <w:p>
            <w:pPr>
              <w:pStyle w:val="Normal"/>
              <w:tabs>
                <w:tab w:val="left" w:pos="0" w:leader="none"/>
                <w:tab w:val="left" w:pos="284" w:leader="none"/>
              </w:tabs>
              <w:jc w:val="center"/>
              <w:rPr/>
            </w:pPr>
            <w:r>
              <w:rPr>
                <w:rFonts w:cs="Times New Roman" w:ascii="Times New Roman" w:hAnsi="Times New Roman"/>
                <w:b/>
                <w:bCs/>
              </w:rPr>
              <w:t>Figure 9: Power and temperature profiles in axial direction for coupled and non-coupled simulations.</w:t>
            </w:r>
          </w:p>
        </w:tc>
      </w:tr>
    </w:tbl>
    <w:p>
      <w:pPr>
        <w:pStyle w:val="Normal"/>
        <w:tabs>
          <w:tab w:val="left" w:pos="0" w:leader="none"/>
          <w:tab w:val="left" w:pos="284" w:leader="none"/>
        </w:tabs>
        <w:jc w:val="both"/>
        <w:rPr/>
      </w:pPr>
      <w:r>
        <w:rPr>
          <w:rFonts w:cs="Times New Roman" w:ascii="Times New Roman" w:hAnsi="Times New Roman"/>
        </w:rPr>
        <w:t>Table 10 presents the k</w:t>
      </w:r>
      <w:r>
        <w:rPr>
          <w:rFonts w:cs="Times New Roman" w:ascii="Times New Roman" w:hAnsi="Times New Roman"/>
          <w:vertAlign w:val="subscript"/>
        </w:rPr>
        <w:t>eff</w:t>
      </w:r>
      <w:r>
        <w:rPr>
          <w:rFonts w:cs="Times New Roman" w:ascii="Times New Roman" w:hAnsi="Times New Roman"/>
        </w:rPr>
        <w:t xml:space="preserve"> results from standalone and coupled neutronic simulations. The coupled simulation showed lower values than the standalone calculations under the same conditions. This is due to the feedback from neutronic calculations </w:t>
      </w:r>
      <w:bookmarkStart w:id="8" w:name="move494813416"/>
      <w:bookmarkEnd w:id="8"/>
      <w:r>
        <w:rPr>
          <w:rFonts w:cs="Times New Roman" w:ascii="Times New Roman" w:hAnsi="Times New Roman"/>
        </w:rPr>
        <w:t>as the temperature at the higher flux positions will be above the average temperature, changing cross-sections and reducing the reactivity more in this region. This effect outweighs the inverse effect of the extremities of the fuel that will have below average temperatures, as these regions will have a lower neutron flux. These results all indicate that the proposed coupled simulation successfully show the expected behavior.</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10.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Fuel pin power [kW]</w:t>
            </w:r>
          </w:p>
        </w:tc>
        <w:tc>
          <w:tcPr>
            <w:tcW w:w="28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Full core power equivalence [kW]</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Standalone k</w:t>
            </w:r>
            <w:r>
              <w:rPr>
                <w:rFonts w:cs="Times New Roman" w:ascii="Times New Roman" w:hAnsi="Times New Roman"/>
                <w:vertAlign w:val="subscript"/>
              </w:rPr>
              <w:t>eff</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Coupled k</w:t>
            </w:r>
            <w:r>
              <w:rPr>
                <w:rFonts w:cs="Times New Roman" w:ascii="Times New Roman" w:hAnsi="Times New Roman"/>
                <w:vertAlign w:val="subscript"/>
              </w:rPr>
              <w:t>eff</w:t>
            </w:r>
          </w:p>
        </w:tc>
      </w:tr>
      <w:tr>
        <w:trPr>
          <w:trHeight w:val="412" w:hRule="atLeast"/>
        </w:trPr>
        <w:tc>
          <w:tcPr>
            <w:tcW w:w="296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1.14354</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graphical view of k</w:t>
      </w:r>
      <w:r>
        <w:rPr>
          <w:rFonts w:cs="Times New Roman" w:ascii="Times New Roman" w:hAnsi="Times New Roman"/>
          <w:vertAlign w:val="subscript"/>
        </w:rPr>
        <w:t xml:space="preserve">eff </w:t>
      </w:r>
      <w:r>
        <w:rPr>
          <w:rFonts w:cs="Times New Roman" w:ascii="Times New Roman" w:hAnsi="Times New Roman"/>
        </w:rPr>
        <w:t>values until calculations convergence is shown in Figure 10. Values for k</w:t>
      </w:r>
      <w:r>
        <w:rPr>
          <w:rFonts w:cs="Times New Roman" w:ascii="Times New Roman" w:hAnsi="Times New Roman"/>
          <w:vertAlign w:val="subscript"/>
        </w:rPr>
        <w:t>eff</w:t>
      </w:r>
      <w:r>
        <w:rPr>
          <w:rFonts w:cs="Times New Roman" w:ascii="Times New Roman" w:hAnsi="Times New Roman"/>
        </w:rPr>
        <w:t xml:space="preserve"> at each call to </w:t>
      </w:r>
      <w:r>
        <w:rPr>
          <w:rFonts w:cs="Times New Roman" w:ascii="Times New Roman" w:hAnsi="Times New Roman"/>
          <w:i/>
          <w:iCs/>
        </w:rPr>
        <w:t xml:space="preserve">milonga </w:t>
      </w:r>
      <w:r>
        <w:rPr>
          <w:rFonts w:cs="Times New Roman" w:ascii="Times New Roman" w:hAnsi="Times New Roman"/>
        </w:rPr>
        <w:t>during one coupled simulation are plotted. The k</w:t>
      </w:r>
      <w:r>
        <w:rPr>
          <w:rFonts w:cs="Times New Roman" w:ascii="Times New Roman" w:hAnsi="Times New Roman"/>
          <w:vertAlign w:val="subscript"/>
        </w:rPr>
        <w:t xml:space="preserve">eff </w:t>
      </w:r>
      <w:r>
        <w:rPr>
          <w:rFonts w:cs="Times New Roman" w:ascii="Times New Roman" w:hAnsi="Times New Roman"/>
        </w:rPr>
        <w:t xml:space="preserve">value in standalone is presented as a constant line for the sake of clarity, since it is calculated in only one </w:t>
      </w:r>
      <w:r>
        <w:rPr>
          <w:rFonts w:cs="Times New Roman" w:ascii="Times New Roman" w:hAnsi="Times New Roman"/>
          <w:i/>
        </w:rPr>
        <w:t>milonga</w:t>
      </w:r>
      <w:r>
        <w:rPr>
          <w:rFonts w:cs="Times New Roman" w:ascii="Times New Roman" w:hAnsi="Times New Roman"/>
        </w:rPr>
        <w:t xml:space="preserve"> run.  It can be noticed that </w:t>
      </w:r>
      <w:bookmarkStart w:id="9" w:name="__DdeLink__1408_780221924"/>
      <w:r>
        <w:rPr>
          <w:rFonts w:cs="Times New Roman" w:ascii="Times New Roman" w:hAnsi="Times New Roman"/>
        </w:rPr>
        <w:t>k</w:t>
      </w:r>
      <w:r>
        <w:rPr>
          <w:rFonts w:cs="Times New Roman" w:ascii="Times New Roman" w:hAnsi="Times New Roman"/>
          <w:vertAlign w:val="subscript"/>
        </w:rPr>
        <w:t>eff</w:t>
      </w:r>
      <w:bookmarkEnd w:id="9"/>
      <w:r>
        <w:rPr>
          <w:rFonts w:cs="Times New Roman" w:ascii="Times New Roman" w:hAnsi="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r>
        <w:rPr>
          <w:rFonts w:cs="Times New Roman" w:ascii="Times New Roman" w:hAnsi="Times New Roman"/>
          <w:i/>
          <w:iCs/>
        </w:rPr>
        <w:t>milonga</w:t>
      </w:r>
      <w:r>
        <w:rPr>
          <w:rFonts w:cs="Times New Roman" w:ascii="Times New Roman" w:hAnsi="Times New Roman"/>
        </w:rPr>
        <w:t xml:space="preserve">.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graphical representation of the relative fluxes for the standalone neutronic calculations and the coupled simulations is shown in Figure 11.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successfully performed. </w:t>
      </w:r>
    </w:p>
    <w:p>
      <w:pPr>
        <w:pStyle w:val="Normal"/>
        <w:tabs>
          <w:tab w:val="left" w:pos="0" w:leader="none"/>
          <w:tab w:val="left" w:pos="284" w:leader="none"/>
        </w:tabs>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4916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332220" cy="474916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10: k</w:t>
      </w:r>
      <w:r>
        <w:rPr>
          <w:rFonts w:cs="Times New Roman" w:ascii="Times New Roman" w:hAnsi="Times New Roman"/>
          <w:b/>
          <w:bCs/>
          <w:vertAlign w:val="subscript"/>
        </w:rPr>
        <w:t>eff</w:t>
      </w:r>
      <w:r>
        <w:rPr>
          <w:rFonts w:cs="Times New Roman" w:ascii="Times New Roman" w:hAnsi="Times New Roman"/>
          <w:b/>
          <w:bCs/>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tbl>
      <w:tblPr>
        <w:tblW w:w="9972" w:type="dxa"/>
        <w:jc w:val="left"/>
        <w:tblInd w:w="0" w:type="dxa"/>
        <w:tblBorders/>
        <w:tblCellMar>
          <w:top w:w="0" w:type="dxa"/>
          <w:left w:w="0" w:type="dxa"/>
          <w:bottom w:w="0" w:type="dxa"/>
          <w:right w:w="0" w:type="dxa"/>
        </w:tblCellMar>
        <w:tblLook w:val="04a0" w:noVBand="1" w:noHBand="0" w:lastColumn="0" w:firstColumn="1" w:lastRow="0" w:firstRow="1"/>
      </w:tblPr>
      <w:tblGrid>
        <w:gridCol w:w="4986"/>
        <w:gridCol w:w="4985"/>
      </w:tblGrid>
      <w:tr>
        <w:trPr/>
        <w:tc>
          <w:tcPr>
            <w:tcW w:w="4986" w:type="dxa"/>
            <w:tcBorders/>
            <w:shd w:color="auto" w:fill="FFFFFF" w:val="clear"/>
          </w:tcPr>
          <w:p>
            <w:pPr>
              <w:pStyle w:val="TableContents"/>
              <w:jc w:val="center"/>
              <w:rPr/>
            </w:pPr>
            <w:r>
              <w:rPr/>
              <w:drawing>
                <wp:anchor behindDoc="0" distT="0" distB="0" distL="0" distR="0" simplePos="0" locked="0" layoutInCell="1" allowOverlap="1" relativeHeight="9">
                  <wp:simplePos x="0" y="0"/>
                  <wp:positionH relativeFrom="column">
                    <wp:align>center</wp:align>
                  </wp:positionH>
                  <wp:positionV relativeFrom="line">
                    <wp:posOffset>2734310</wp:posOffset>
                  </wp:positionV>
                  <wp:extent cx="3166110" cy="27368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3166110" cy="2736850"/>
                          </a:xfrm>
                          <a:prstGeom prst="rect">
                            <a:avLst/>
                          </a:prstGeom>
                        </pic:spPr>
                      </pic:pic>
                    </a:graphicData>
                  </a:graphic>
                </wp:anchor>
              </w:drawing>
            </w:r>
          </w:p>
        </w:tc>
        <w:tc>
          <w:tcPr>
            <w:tcW w:w="4985" w:type="dxa"/>
            <w:tcBorders/>
            <w:shd w:color="auto" w:fill="FFFFFF" w:val="clear"/>
          </w:tcPr>
          <w:p>
            <w:pPr>
              <w:pStyle w:val="TableContents"/>
              <w:jc w:val="center"/>
              <w:rPr/>
            </w:pPr>
            <w:r>
              <w:rPr/>
              <w:drawing>
                <wp:anchor behindDoc="0" distT="0" distB="0" distL="0" distR="0" simplePos="0" locked="0" layoutInCell="1" allowOverlap="1" relativeHeight="15">
                  <wp:simplePos x="0" y="0"/>
                  <wp:positionH relativeFrom="column">
                    <wp:align>center</wp:align>
                  </wp:positionH>
                  <wp:positionV relativeFrom="line">
                    <wp:align>bottom</wp:align>
                  </wp:positionV>
                  <wp:extent cx="3166110" cy="183451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3166110" cy="1834515"/>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11: Radial (left) and axial (right) profiles for relative flux for standalone and fully-coupled calculations.</w:t>
      </w:r>
    </w:p>
    <w:p>
      <w:pPr>
        <w:pStyle w:val="Normal"/>
        <w:tabs>
          <w:tab w:val="left" w:pos="0" w:leader="none"/>
          <w:tab w:val="left" w:pos="284" w:leader="none"/>
        </w:tabs>
        <w:jc w:val="both"/>
        <w:rPr/>
      </w:pPr>
      <w:r>
        <w:rPr>
          <w:rFonts w:cs="Times New Roman" w:ascii="Times New Roman" w:hAnsi="Times New Roman"/>
        </w:rPr>
        <w:t>In order to visualize the results of coupled calculations relative to standalone execution, a set of images were generated showing the differences in relative fluxes and power between the coupled and non-coupled calculations. Figure 12 shows these differences from different views of the model. In these images the previously described temperature and neutron flux effects can be visualized in terms of flux and power differences.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tbl>
      <w:tblPr>
        <w:tblW w:w="9972" w:type="dxa"/>
        <w:jc w:val="left"/>
        <w:tblInd w:w="53" w:type="dxa"/>
        <w:tblBorders/>
        <w:tblCellMar>
          <w:top w:w="55" w:type="dxa"/>
          <w:left w:w="54" w:type="dxa"/>
          <w:bottom w:w="55" w:type="dxa"/>
          <w:right w:w="55" w:type="dxa"/>
        </w:tblCellMar>
        <w:tblLook w:val="04a0" w:noVBand="1" w:noHBand="0" w:lastColumn="0" w:firstColumn="1" w:lastRow="0" w:firstRow="1"/>
      </w:tblPr>
      <w:tblGrid>
        <w:gridCol w:w="9972"/>
      </w:tblGrid>
      <w:tr>
        <w:trPr/>
        <w:tc>
          <w:tcPr>
            <w:tcW w:w="9972" w:type="dxa"/>
            <w:tcBorders/>
            <w:shd w:color="auto" w:fill="auto" w:val="clear"/>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72000" cy="332867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4572000" cy="33286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63005" cy="247777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263005" cy="24777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72000" cy="47459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572000" cy="4745990"/>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12 - Differences in relative neutron flux and power between standalone and coupled calculation. A – Mid axial slice, B – Mid radial slice and C – Isometric.</w:t>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t>4. CONCLUSIONS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In this paper, a coupled neutronics and thermal-hydraulics system based on finite volumes was developed primarily using free software. This coupled-framework uses shared-memory to allow data interchange between two different software without time penalty. It has the advantage of solving neutronics and thermal-hydraulics at the same spatial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comparison between standalone neutronics calculations and coupled calculations with temperatures variation by cell in a fine mesh model show a non-negligible difference in power due to reactivity changes.  These results agree with the results found using the Serpent code for calculations using an almost identical geometry for a TRIGA fuel element with a radially applied temperature gradient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Although in its very preliminary version, the system presented in this paper has another innovative characteristic uncommon in other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rPr>
        <w:t>milonga</w:t>
      </w:r>
      <w:r>
        <w:rPr>
          <w:rFonts w:cs="Times New Roman" w:ascii="Times New Roman" w:hAnsi="Times New Roman"/>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4.1 FURTHER DEVELOPMENT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real-time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improvements proposed are considering an important limitation of this proof-of-concept methodology: sequential run. </w:t>
      </w:r>
      <w:r>
        <w:rPr>
          <w:rFonts w:cs="Times New Roman" w:ascii="Times New Roman" w:hAnsi="Times New Roman"/>
          <w:i/>
          <w:iCs/>
        </w:rPr>
        <w:t>OpenFOAM</w:t>
      </w:r>
      <w:r>
        <w:rPr>
          <w:rFonts w:cs="Times New Roman" w:ascii="Times New Roman" w:hAnsi="Times New Roman"/>
        </w:rPr>
        <w:t xml:space="preserve"> offers mature parallel implementations and the coupled development took it in account. In order to fully take advantage of this capability, </w:t>
      </w:r>
      <w:r>
        <w:rPr>
          <w:rFonts w:cs="Times New Roman" w:ascii="Times New Roman" w:hAnsi="Times New Roman"/>
          <w:i/>
        </w:rPr>
        <w:t>milonga</w:t>
      </w:r>
      <w:r>
        <w:rPr>
          <w:rFonts w:cs="Times New Roman" w:ascii="Times New Roman" w:hAnsi="Times New Roman"/>
        </w:rPr>
        <w:t xml:space="preserve"> nuclear code should also be able to run in parallel. This situation would be unfortunate, if </w:t>
      </w:r>
      <w:r>
        <w:rPr>
          <w:rFonts w:cs="Times New Roman" w:ascii="Times New Roman" w:hAnsi="Times New Roman"/>
          <w:i/>
        </w:rPr>
        <w:t>milonga</w:t>
      </w:r>
      <w:r>
        <w:rPr>
          <w:rFonts w:cs="Times New Roman" w:ascii="Times New Roman" w:hAnsi="Times New Roman"/>
        </w:rPr>
        <w:t xml:space="preserve"> was not freely available. Considering it is available as free software, anybody wishing to tackle this task is welcome to collaborate. This subject brings to the light technical aspects of the coupled software which can be object of improvements. The immediate one is to make </w:t>
      </w:r>
      <w:r>
        <w:rPr>
          <w:rFonts w:cs="Times New Roman" w:ascii="Times New Roman" w:hAnsi="Times New Roman"/>
          <w:i/>
        </w:rPr>
        <w:t>milonga</w:t>
      </w:r>
      <w:r>
        <w:rPr>
          <w:rFonts w:cs="Times New Roman" w:ascii="Times New Roman" w:hAnsi="Times New Roman"/>
        </w:rPr>
        <w:t xml:space="preserve"> work in parallel, using domain decomposition techniques. Another way is to use internal threads to solve the eigenvalue problem in parallel while the mesh stays untouched. The use of shared-memory, one of main contributions of this work in coupled-code data exchange, can host the mesh structures, having codes sharing it and thus making use of about half of memory for main data structures. Another possible improvement worth to mention, is to modify </w:t>
      </w:r>
      <w:r>
        <w:rPr>
          <w:rFonts w:cs="Times New Roman" w:ascii="Times New Roman" w:hAnsi="Times New Roman"/>
          <w:i/>
        </w:rPr>
        <w:t>milonga</w:t>
      </w:r>
      <w:r>
        <w:rPr>
          <w:rFonts w:cs="Times New Roman" w:ascii="Times New Roman" w:hAnsi="Times New Roman"/>
        </w:rPr>
        <w:t>'s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Normal"/>
        <w:rPr/>
      </w:pPr>
      <w:r>
        <w:rPr>
          <w:rFonts w:ascii="Times New Roman" w:hAnsi="Times New Roman"/>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Rafael Miró and Gumersindo Verdú from UPV – Polytechnic University of València, Spain – for their invaluable contributions for this work during a scholarship financed by CAPES – Brazilian Federal Agency for Support and Evaluation of Graduate Education within the Ministry of Education of Brazil - in the basis of PDSE scholarship program. The first author also thanks Tuomas Viitanen for kindly providing pre-processed cross-sections to be used by Serpent Monte Carlo code for modeling zyrconium hydrade in a TRIGA type fuel.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ascii="Times New Roman" w:hAnsi="Times New Roman"/>
        </w:rPr>
        <w:t xml:space="preserve">Androutsellis-Theotokis, S., Spinellis, D., Kechagia, M. and Gousios,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Aufiero, M., Fiorina, C. and Laureau, A. (2015) </w:t>
      </w:r>
      <w:r>
        <w:rPr>
          <w:rFonts w:ascii="Times New Roman" w:hAnsi="Times New Roman"/>
          <w:i/>
          <w:iCs/>
        </w:rPr>
        <w:t>Serpent-OpenFOAM coupling in transient mode: simulation of a Godiva prompt critical burst,</w:t>
      </w:r>
      <w:r>
        <w:rPr>
          <w:rFonts w:ascii="Times New Roman" w:hAnsi="Times New Roman"/>
        </w:rPr>
        <w:t xml:space="preserve"> Proceedings of M&amp;C+SNA+MC, Pages 19-23.</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Balay, S.,  Abhyankar, S., Adams, M. F., Brown, J., Brune, P., </w:t>
      </w:r>
      <w:r>
        <w:rPr>
          <w:rFonts w:cs="Liberation Serif" w:ascii="Times New Roman" w:hAnsi="Times New Roman"/>
          <w:sz w:val="24"/>
        </w:rPr>
        <w:t xml:space="preserve">Buschelman, K., Dalcin, L., Eijkhout, V., Gropp, W. D., Kaushik, D., Knepley, M. G., Curfman McInnes, L., Rupp, K., Smith, B. F., Zampini, S. and Zhang, H. (2016) </w:t>
      </w:r>
      <w:r>
        <w:rPr>
          <w:rFonts w:cs="Liberation Serif" w:ascii="Times New Roman" w:hAnsi="Times New Roman"/>
          <w:i/>
          <w:iCs/>
          <w:sz w:val="24"/>
        </w:rPr>
        <w:t>PETSc Users Manual</w:t>
      </w:r>
      <w:r>
        <w:rPr>
          <w:rFonts w:cs="Liberation Serif" w:ascii="Times New Roman" w:hAnsi="Times New Roman"/>
          <w:sz w:val="24"/>
        </w:rPr>
        <w:t>, ANL-95/11 - Revision 3.7. Argonne National Laboratory, 2016. http://www.mcs.anl.gov/petsc</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Bennett, A., Avramova, M. and Ivanov,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20">
        <w:r>
          <w:rPr>
            <w:rStyle w:val="InternetLink"/>
            <w:rFonts w:ascii="Times New Roman" w:hAnsi="Times New Roman"/>
          </w:rPr>
          <w:t>http://dx.doi.org/10.1016/j.anucene.2016.05.008</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Boyd, W., Shaner, S., Li, L., Forget, B. and Smith, K. (2014) </w:t>
      </w:r>
      <w:r>
        <w:rPr>
          <w:rFonts w:ascii="Times New Roman" w:hAnsi="Times New Roman"/>
          <w:i/>
          <w:iCs/>
        </w:rPr>
        <w:t>The OpenMOC method of characteristics neutral particle transport code</w:t>
      </w:r>
      <w:r>
        <w:rPr>
          <w:rFonts w:ascii="Times New Roman" w:hAnsi="Times New Roman"/>
        </w:rPr>
        <w:t>, Annals of Nuclear Energy, Volume 68, Pages 43-52, ISSN 0306-4549, http://dx.doi.org/10.1016/j.anucene.2013.12.012.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Fiorina, C., Clifford, I., Aufiero, M. and Mikityuk, K. (2015) </w:t>
      </w:r>
      <w:r>
        <w:rPr>
          <w:rFonts w:ascii="Times New Roman" w:hAnsi="Times New Roman"/>
          <w:i/>
          <w:iCs/>
        </w:rPr>
        <w:t>GeN-Foam: a novel OpenFOAM® based multiphysics solver for 2D/3D transient analysis of nuclear reactors</w:t>
      </w:r>
      <w:r>
        <w:rPr>
          <w:rFonts w:ascii="Times New Roman" w:hAnsi="Times New Roman"/>
        </w:rPr>
        <w:t xml:space="preserve">, Nuclear Engineering and Design, Volume 294, Pages 24-37, </w:t>
      </w:r>
      <w:r>
        <w:rPr>
          <w:rFonts w:cs="Liberation Serif" w:ascii="Times New Roman" w:hAnsi="Times New Roman"/>
          <w:sz w:val="24"/>
          <w:szCs w:val="24"/>
        </w:rPr>
        <w:t>ISSN 0029-5493</w:t>
      </w:r>
      <w:r>
        <w:rPr>
          <w:rFonts w:ascii="Times New Roman" w:hAnsi="Times New Roman"/>
        </w:rPr>
        <w:t>.</w:t>
      </w:r>
    </w:p>
    <w:p>
      <w:pPr>
        <w:pStyle w:val="Normal"/>
        <w:jc w:val="both"/>
        <w:rPr>
          <w:rFonts w:ascii="Times New Roman" w:hAnsi="Times New Roman"/>
        </w:rPr>
      </w:pPr>
      <w:r>
        <w:rPr/>
      </w:r>
    </w:p>
    <w:p>
      <w:pPr>
        <w:pStyle w:val="Normal"/>
        <w:jc w:val="both"/>
        <w:rPr/>
      </w:pPr>
      <w:r>
        <w:rPr>
          <w:rFonts w:ascii="Times New Roman" w:hAnsi="Times New Roman"/>
        </w:rPr>
        <w:t xml:space="preserve">Fiorina, C., Kerkar, N., Mikityuk, K., Rubiolo, P. and Pautz, A. (2016) </w:t>
      </w:r>
      <w:r>
        <w:rPr>
          <w:rFonts w:ascii="Times New Roman" w:hAnsi="Times New Roman"/>
          <w:i/>
          <w:iCs/>
        </w:rPr>
        <w:t>Development and verification of the neutron diffusion solver for the GeN-Foam multiphysics platform.</w:t>
      </w:r>
      <w:r>
        <w:rPr>
          <w:rFonts w:ascii="Times New Roman" w:hAnsi="Times New Roman"/>
        </w:rPr>
        <w:t xml:space="preserve"> Annals of Nuclear Energy, Volume 96, Pages 212-222, ISSN 0306-4549.</w:t>
      </w:r>
    </w:p>
    <w:p>
      <w:pPr>
        <w:pStyle w:val="Normal"/>
        <w:jc w:val="both"/>
        <w:rPr>
          <w:rFonts w:ascii="Times New Roman" w:hAnsi="Times New Roman"/>
        </w:rPr>
      </w:pPr>
      <w:r>
        <w:rPr/>
      </w:r>
    </w:p>
    <w:p>
      <w:pPr>
        <w:pStyle w:val="Normal"/>
        <w:jc w:val="both"/>
        <w:rPr/>
      </w:pPr>
      <w:r>
        <w:rPr>
          <w:rFonts w:ascii="Times New Roman" w:hAnsi="Times New Roman"/>
        </w:rPr>
        <w:t xml:space="preserve">Cheng, Y. and Roberts, J. A. (2017) </w:t>
      </w:r>
      <w:r>
        <w:rPr>
          <w:rFonts w:ascii="Times New Roman" w:hAnsi="Times New Roman"/>
          <w:i/>
          <w:iCs/>
        </w:rPr>
        <w:t>A study of reactivity biases and their dependence on spatial discretization in depleted TRIGA fuel</w:t>
      </w:r>
      <w:r>
        <w:rPr>
          <w:rFonts w:ascii="Times New Roman" w:hAnsi="Times New Roman"/>
        </w:rPr>
        <w:t xml:space="preserve">, Annals of Nuclear Energy, Volume 108, Pages 126-131, ISSN 0306-4549, </w:t>
      </w:r>
      <w:hyperlink r:id="rId21">
        <w:r>
          <w:rPr>
            <w:rStyle w:val="InternetLink"/>
            <w:rFonts w:ascii="Times New Roman" w:hAnsi="Times New Roman"/>
          </w:rPr>
          <w:t>http://dx.doi.org/10.1016/j.anucene.2017.04.030</w:t>
        </w:r>
      </w:hyperlink>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Galassi, M., Davies, J., Theiler, J., Gough B., Jungman, G., Alken, P., Booth, M., Rossi, F. and Ulerich, R. (2009) </w:t>
      </w:r>
      <w:r>
        <w:rPr>
          <w:rFonts w:ascii="Times New Roman" w:hAnsi="Times New Roman"/>
          <w:i/>
          <w:iCs/>
        </w:rPr>
        <w:t>GNU Scientific Library Reference Manual</w:t>
      </w:r>
      <w:r>
        <w:rPr>
          <w:rFonts w:ascii="Times New Roman" w:hAnsi="Times New Roman"/>
        </w:rPr>
        <w:t xml:space="preserve"> - Third Edition, ISBN 0954612078.</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Geuzaine, C. and Remacle, J.-F., 2009, </w:t>
      </w:r>
      <w:r>
        <w:rPr>
          <w:rFonts w:ascii="Times New Roman" w:hAnsi="Times New Roman"/>
          <w:i/>
          <w:iCs/>
        </w:rPr>
        <w:t>Gmsh: a three-dimensional finite element mesh generator with built-in pre and post-processing facilities.</w:t>
      </w:r>
      <w:r>
        <w:rPr>
          <w:rFonts w:ascii="Times New Roman" w:hAnsi="Times New Roman"/>
        </w:rPr>
        <w:t xml:space="preserve"> International Journal for Numerical Methods in Engineering 79(11), pp. 1309-1331.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GNU General Public License (2007) Version 3. Free Software Foundation. URL: </w:t>
      </w:r>
      <w:hyperlink r:id="rId22">
        <w:r>
          <w:rPr>
            <w:rStyle w:val="InternetLink"/>
            <w:rFonts w:ascii="Times New Roman" w:hAnsi="Times New Roman"/>
          </w:rPr>
          <w:t>http://www.gnu.org/licenses/gpl.html</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Hernandez, V., Roman, J. E. and V. Vidal. (2005) </w:t>
      </w:r>
      <w:r>
        <w:rPr>
          <w:rStyle w:val="Emphasis"/>
          <w:rFonts w:ascii="Times New Roman" w:hAnsi="Times New Roman"/>
        </w:rPr>
        <w:t>SLEPc: A scalable and flexible toolkit for the solution of eigenvalue problems.</w:t>
      </w:r>
      <w:r>
        <w:rPr>
          <w:rFonts w:ascii="Times New Roman" w:hAnsi="Times New Roman"/>
        </w:rPr>
        <w:t xml:space="preserve"> ACM Trans. Math. Software, 31(3):351-362.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Huff, K. D., Gidden, M. J., Carlsen, R. W., Flanagan, R. R., McGarry, M. B., Opotowsky, A. C., Schneider, E. A., Scopatz, A. M. and Wilson, P. P. H. (2016) </w:t>
      </w:r>
      <w:r>
        <w:rPr>
          <w:rFonts w:ascii="Times New Roman" w:hAnsi="Times New Roman"/>
          <w:i/>
          <w:iCs/>
        </w:rPr>
        <w:t>Fundamental concepts in the Cyclus nuclear fuel cycle simulation framework</w:t>
      </w:r>
      <w:r>
        <w:rPr>
          <w:rFonts w:ascii="Times New Roman" w:hAnsi="Times New Roman"/>
        </w:rPr>
        <w:t xml:space="preserve">, Advances in Engineering Software, Volume 94, Pages 46-59, ISSN 0965-9978, </w:t>
      </w:r>
      <w:hyperlink r:id="rId23">
        <w:r>
          <w:rPr>
            <w:rStyle w:val="InternetLink"/>
            <w:rFonts w:ascii="Times New Roman" w:hAnsi="Times New Roman"/>
          </w:rPr>
          <w:t>http://dx.doi.org/10.1016/j.advengsoft.2016.01.014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Hummel, D. W. and Novog, D. R. (2016) </w:t>
      </w:r>
      <w:r>
        <w:rPr>
          <w:rFonts w:cs="Liberation Serif" w:ascii="Times New Roman" w:hAnsi="Times New Roman"/>
          <w:i/>
          <w:iCs/>
          <w:sz w:val="24"/>
          <w:szCs w:val="24"/>
        </w:rPr>
        <w:t>Coupled 3D neutron kinetics and thermalhydraulic characteristics of the Canadian supercritical water reactor</w:t>
      </w:r>
      <w:r>
        <w:rPr>
          <w:rFonts w:cs="Liberation Serif" w:ascii="Times New Roman" w:hAnsi="Times New Roman"/>
          <w:sz w:val="24"/>
          <w:szCs w:val="24"/>
        </w:rPr>
        <w:t>, Nuclear Engineering and Design, Volume 298, March 2016, Pages 78-89, ISSN 0029-5493, http://dx.doi.org/10.1016/j.nucengdes.2015.12.008.</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Ivanov, K. and Avramova, M. (2007) </w:t>
      </w:r>
      <w:r>
        <w:rPr>
          <w:rFonts w:cs="Liberation Serif" w:ascii="Times New Roman" w:hAnsi="Times New Roman"/>
          <w:i/>
          <w:iCs/>
          <w:sz w:val="24"/>
          <w:szCs w:val="24"/>
        </w:rPr>
        <w:t>Challenges in coupled thermal–hydraulics and neutronics simulations for LWR safety analysis</w:t>
      </w:r>
      <w:r>
        <w:rPr>
          <w:rFonts w:cs="Liberation Serif" w:ascii="Times New Roman" w:hAnsi="Times New Roman"/>
          <w:sz w:val="24"/>
          <w:szCs w:val="24"/>
        </w:rPr>
        <w:t>, Annals of Nuclear Energy, Volume 34, Issue 6, Pages 501-513, ISSN 0306-4549, http://dx.doi.org/10.1016/j.anucene.2007.02.016.</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Jareteg, K., Vinai, P. and Demazière, C. (2014) </w:t>
      </w:r>
      <w:r>
        <w:rPr>
          <w:rFonts w:cs="Liberation Serif" w:ascii="Times New Roman" w:hAnsi="Times New Roman"/>
          <w:i/>
          <w:iCs/>
          <w:sz w:val="24"/>
          <w:szCs w:val="24"/>
        </w:rPr>
        <w:t xml:space="preserve">Fine-mesh deterministic modeling of PWR fuel assemblies: Proof-of-principle of couple neutronic/thermal-hydraulic calculations, </w:t>
      </w:r>
      <w:r>
        <w:rPr>
          <w:rFonts w:cs="Liberation Serif" w:ascii="Times New Roman" w:hAnsi="Times New Roman"/>
          <w:sz w:val="24"/>
          <w:szCs w:val="24"/>
        </w:rPr>
        <w:t>Annals of Nuclear Energy, Volume 68, Pages 247-256, ISSN 0306-4549, http://dx.doi.org/10.1016/j.anucene.2013.12.019.</w:t>
      </w:r>
    </w:p>
    <w:p>
      <w:pPr>
        <w:pStyle w:val="PreformattedText"/>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Jareteg, K., Vinai, P., Sasic, S. and Demazière, C. (2015)</w:t>
      </w:r>
      <w:r>
        <w:rPr>
          <w:rFonts w:cs="Liberation Serif" w:ascii="Times New Roman" w:hAnsi="Times New Roman"/>
          <w:i/>
          <w:iCs/>
          <w:sz w:val="24"/>
          <w:szCs w:val="24"/>
        </w:rPr>
        <w:t xml:space="preserve"> Coupled fine-mesh neutronics and thermal-hydraulics – Modeling and implementation for PWR fuel assemblies</w:t>
      </w:r>
      <w:r>
        <w:rPr>
          <w:rFonts w:cs="Liberation Serif" w:ascii="Times New Roman" w:hAnsi="Times New Roman"/>
          <w:sz w:val="24"/>
          <w:szCs w:val="24"/>
        </w:rPr>
        <w:t>, Annals of Nuclear Energy, Volume 84, Pages 244-257, ISSN 0306-4549, http://dx.doi.org/10.1016/j.anucene.2015.01.037.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Kärrholm Peng, F. (2006) </w:t>
      </w:r>
      <w:r>
        <w:rPr>
          <w:rStyle w:val="Emphasis"/>
          <w:rFonts w:ascii="Times New Roman" w:hAnsi="Times New Roman"/>
        </w:rPr>
        <w:t>Numerical Modelling of Diesel Spray Injection and Turbulence Interaction</w:t>
      </w:r>
      <w:r>
        <w:rPr>
          <w:rFonts w:ascii="Times New Roman" w:hAnsi="Times New Roman"/>
        </w:rPr>
        <w:t>. Appendix: Rhie-Chow interpolations in OpenFOAM. Göteborg: Chalmers University of Technology</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24">
        <w:r>
          <w:rPr>
            <w:rStyle w:val="InternetLink"/>
            <w:rFonts w:ascii="Times New Roman" w:hAnsi="Times New Roman"/>
          </w:rPr>
          <w:t>http://dx.doi.org/10.1016/0045-7825(74)90029-2</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Leppännen, J.,Viitanen, T. and Valtavirta,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Viitanen, T., Valtavirta, V. and Kaltiaisenaho, T. (2015) </w:t>
      </w:r>
      <w:r>
        <w:rPr>
          <w:rFonts w:ascii="Times New Roman" w:hAnsi="Times New Roman"/>
          <w:i/>
          <w:iCs/>
        </w:rPr>
        <w:t>The Serpent Monte Carlo code: Status, development and applications in 2013</w:t>
      </w:r>
      <w:r>
        <w:rPr>
          <w:rFonts w:ascii="Times New Roman" w:hAnsi="Times New Roman"/>
        </w:rPr>
        <w:t xml:space="preserve">, Annals of Nuclear Energy, Volume 82, 2015, Pages 142-150, ISSN 0306-4549, </w:t>
      </w:r>
      <w:hyperlink r:id="rId25">
        <w:r>
          <w:rPr>
            <w:rStyle w:val="InternetLink"/>
            <w:rFonts w:ascii="Times New Roman" w:hAnsi="Times New Roman"/>
          </w:rPr>
          <w:t>http://dx.doi.org/10.1016/j.anucene.2014.08.024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and Fridman, E. (2016) </w:t>
      </w:r>
      <w:r>
        <w:rPr>
          <w:rFonts w:ascii="Times New Roman" w:hAnsi="Times New Roman"/>
          <w:i/>
          <w:iCs/>
        </w:rPr>
        <w:t>Overview of methodology for spatial homogenization in the Serpent 2 Monte Carlo code</w:t>
      </w:r>
      <w:r>
        <w:rPr>
          <w:rFonts w:ascii="Times New Roman" w:hAnsi="Times New Roman"/>
        </w:rPr>
        <w:t xml:space="preserve">, Annals of Nuclear Energy, Volume 96, 2016, Pages 126-136, ISSN 0306-4549, </w:t>
      </w:r>
      <w:hyperlink r:id="rId26">
        <w:r>
          <w:rPr>
            <w:rStyle w:val="InternetLink"/>
            <w:rFonts w:ascii="Times New Roman" w:hAnsi="Times New Roman"/>
          </w:rPr>
          <w:t>http://dx.doi.org/10.1016/j.anucene.2016.06.007</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Mahadevan, V., Merzari, E., Tautges, T.,  Jain, R., Obabko, A.,  Smith, M. and Fischer, P. (2014) </w:t>
      </w:r>
      <w:bookmarkStart w:id="10" w:name="page-title"/>
      <w:bookmarkEnd w:id="10"/>
      <w:r>
        <w:rPr>
          <w:rFonts w:ascii="Times New Roman" w:hAnsi="Times New Roman"/>
          <w:i/>
          <w:iCs/>
        </w:rPr>
        <w:t>High-resolution coupled physics solvers for analysing fine-scale nuclear reactor design problems.</w:t>
      </w:r>
      <w:r>
        <w:rPr>
          <w:rFonts w:ascii="Times New Roman" w:hAnsi="Times New Roman"/>
        </w:rPr>
        <w:t xml:space="preserve"> Phil. Trans. R. Soc. A 2014 372 20130381; DOI: 10.1098/rsta.2013.0381.</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OpenFOAM - The Open Source CDF Toolbox: User guide. Version 3.0.1 [S.l.], 2015.</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Richard, J. Galloway, J., Fensin, M. and Trellue, H. </w:t>
      </w:r>
      <w:r>
        <w:rPr>
          <w:rFonts w:cs="Liberation Serif" w:ascii="Times New Roman" w:hAnsi="Times New Roman"/>
          <w:i/>
          <w:iCs/>
          <w:sz w:val="24"/>
          <w:szCs w:val="24"/>
        </w:rPr>
        <w:t>SMITHERS: An object-oriented modular mapping methodology for MCNP-based neutronic–thermal hydraulic multiphysics</w:t>
      </w:r>
      <w:r>
        <w:rPr>
          <w:rFonts w:cs="Liberation Serif" w:ascii="Times New Roman" w:hAnsi="Times New Roman"/>
          <w:sz w:val="24"/>
          <w:szCs w:val="24"/>
        </w:rPr>
        <w:t>, Annals of Nuclear Energy, Volume 81, Pages 150-163, ISSN 0306-4549, http://dx.doi.org/10.1016/j.anucene.2015.03.027.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Romano, P. K. and Forget, B. (2013) </w:t>
      </w:r>
      <w:r>
        <w:rPr>
          <w:rFonts w:ascii="Times New Roman" w:hAnsi="Times New Roman"/>
          <w:i/>
          <w:iCs/>
        </w:rPr>
        <w:t>The OpenMC Monte Carlo particle transport code</w:t>
      </w:r>
      <w:r>
        <w:rPr>
          <w:rFonts w:ascii="Times New Roman" w:hAnsi="Times New Roman"/>
        </w:rPr>
        <w:t>, Annals of Nuclear Energy, Volume 51, January 2013, Pages 274-281, ISSN 0306-4549, http://dx.doi.org/10.1016/j.anucene.2012.06.040.</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Schmidt, R., Belcourt, K., Hooper, R., Pawlowski, R., Clarno, K., Simunovic, S., Slattery, S., Turner, J., Palmtag, S. (2015) </w:t>
      </w:r>
      <w:r>
        <w:rPr>
          <w:rFonts w:cs="Liberation Serif" w:ascii="Times New Roman" w:hAnsi="Times New Roman"/>
          <w:i/>
          <w:iCs/>
          <w:sz w:val="24"/>
          <w:szCs w:val="24"/>
        </w:rPr>
        <w:t>An approach for coupled-code multiphysics core simulations from a common input</w:t>
      </w:r>
      <w:r>
        <w:rPr>
          <w:rFonts w:cs="Liberation Serif" w:ascii="Times New Roman" w:hAnsi="Times New Roman"/>
          <w:sz w:val="24"/>
          <w:szCs w:val="24"/>
        </w:rPr>
        <w:t>, Annals of Nuclear Energy, Volume 84, Pages 140-152, ISSN 0306-4549, http://dx.doi.org/10.1016/j.anucene.2014.11.015.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V. A., dos Santos, A. A. C., Mesquita, A. Z., Bernal, A., Miró, R., Verdú, G. and Pereira, C. (2015) </w:t>
      </w:r>
      <w:r>
        <w:rPr>
          <w:rFonts w:ascii="Times New Roman" w:hAnsi="Times New Roman"/>
          <w:i/>
          <w:iCs/>
        </w:rPr>
        <w:t xml:space="preserve">Finite volume thermal-hydraulics and neutronics coupled calculations. </w:t>
      </w:r>
      <w:r>
        <w:rPr>
          <w:rFonts w:ascii="Times New Roman" w:hAnsi="Times New Roman"/>
        </w:rPr>
        <w:t>Proceedings of ICAPP 2015, May 03-06. Nice, France.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Campagnole dos Santos, A. A., Theler, G. and Pereira, C. (2016) </w:t>
      </w:r>
      <w:r>
        <w:rPr>
          <w:rFonts w:ascii="Times New Roman" w:hAnsi="Times New Roman"/>
          <w:i/>
          <w:iCs/>
        </w:rPr>
        <w:t xml:space="preserve">Open Software One-Step Coupled Neutronics and CFD Thermal-hydraulics Calculation, </w:t>
      </w:r>
      <w:r>
        <w:rPr>
          <w:rFonts w:ascii="Times New Roman" w:hAnsi="Times New Roman"/>
        </w:rPr>
        <w:t>International Journal of Emerging Technology and Advanced Engineering, Volume 6, Issue 11, ISSN 2250-2459.</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Theler G., Clausse A., Bonetto F.J.,</w:t>
      </w:r>
      <w:r>
        <w:rPr>
          <w:rFonts w:ascii="Times New Roman" w:hAnsi="Times New Roman"/>
          <w:i/>
          <w:iCs/>
        </w:rPr>
        <w:t xml:space="preserve"> Solution of the 2D IAEA PWR Benchmark with the neutronic code milonga</w:t>
      </w:r>
      <w:r>
        <w:rPr>
          <w:rFonts w:ascii="Times New Roman" w:hAnsi="Times New Roman"/>
        </w:rPr>
        <w:t>, Actas de la XXXVIII Reunion Anual de la Asociacion Argentina de Tecnologia Nuclear, Buenos Aires, 2011.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Theler, G., Omil, J. P. G. and Pellegrino, E. (2013) </w:t>
      </w:r>
      <w:r>
        <w:rPr>
          <w:rFonts w:ascii="Times New Roman" w:hAnsi="Times New Roman"/>
          <w:i/>
          <w:iCs/>
        </w:rPr>
        <w:t xml:space="preserve">A shared-memory-based Coupling Scheme for Modelling the Behavior of a Nuclear Power Plant Core. </w:t>
      </w:r>
      <w:r>
        <w:rPr>
          <w:rFonts w:ascii="Times New Roman" w:hAnsi="Times New Roman"/>
          <w:lang w:val="pt-BR"/>
        </w:rPr>
        <w:t>Mecánica Computacional Volume XXXII, Asociación Argentina de Mecánica Computacional, Pages 1501-1517.</w:t>
      </w:r>
    </w:p>
    <w:p>
      <w:pPr>
        <w:pStyle w:val="Normal"/>
        <w:jc w:val="both"/>
        <w:rPr>
          <w:rFonts w:ascii="Times New Roman" w:hAnsi="Times New Roman"/>
          <w:lang w:val="pt-BR"/>
        </w:rPr>
      </w:pPr>
      <w:r>
        <w:rPr>
          <w:rFonts w:ascii="Times New Roman" w:hAnsi="Times New Roman"/>
          <w:lang w:val="pt-BR"/>
        </w:rPr>
      </w:r>
    </w:p>
    <w:p>
      <w:pPr>
        <w:pStyle w:val="Normal"/>
        <w:jc w:val="both"/>
        <w:rPr/>
      </w:pPr>
      <w:r>
        <w:rPr>
          <w:rFonts w:ascii="Times New Roman" w:hAnsi="Times New Roman"/>
        </w:rPr>
        <w:t xml:space="preserve">Theler, G. (2014) </w:t>
      </w:r>
      <w:r>
        <w:rPr>
          <w:rFonts w:ascii="Times New Roman" w:hAnsi="Times New Roman"/>
          <w:i/>
          <w:iCs/>
        </w:rPr>
        <w:t xml:space="preserve">On the design basis of a new core-level neutronic code written from scratch. The free nuclear reactor core analysis code. </w:t>
      </w:r>
      <w:r>
        <w:rPr>
          <w:rFonts w:ascii="Times New Roman" w:hAnsi="Times New Roman"/>
        </w:rPr>
        <w:t xml:space="preserve">Mecánica Computacional Volume XXXIII, Number 48, Numerical Methods in Reactor Physics (B). </w:t>
      </w:r>
      <w:r>
        <w:rPr>
          <w:rFonts w:ascii="Times New Roman" w:hAnsi="Times New Roman"/>
        </w:rPr>
        <w:t xml:space="preserve">Available at </w:t>
      </w:r>
      <w:hyperlink r:id="rId27">
        <w:r>
          <w:rPr>
            <w:rStyle w:val="InternetLink"/>
            <w:rFonts w:ascii="Times New Roman" w:hAnsi="Times New Roman"/>
          </w:rPr>
          <w:t>https://www.seamplex.com/milonga</w:t>
        </w:r>
      </w:hyperlink>
      <w:r>
        <w:rPr>
          <w:rFonts w:ascii="Times New Roman" w:hAnsi="Times New Roman"/>
        </w:rPr>
        <w:t xml:space="preserve"> (11 January 2018).</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Trahan, T. J. (2014) </w:t>
      </w:r>
      <w:r>
        <w:rPr>
          <w:rFonts w:ascii="Times New Roman" w:hAnsi="Times New Roman"/>
          <w:i/>
          <w:iCs/>
        </w:rPr>
        <w:t xml:space="preserve">An asymptotic, homogeneized, anisotropic, multigroup diffusion approximation to the neutron transport equation. </w:t>
      </w:r>
      <w:r>
        <w:rPr>
          <w:rFonts w:ascii="Times New Roman" w:hAnsi="Times New Roman"/>
        </w:rPr>
        <w:t>Thesis, Nuclear Engineering and Radiological Sciences, University of Michigan.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Valtavirta, V., Leppänen, J. and Viitanen, T. (2017) </w:t>
      </w:r>
      <w:r>
        <w:rPr>
          <w:rFonts w:ascii="Times New Roman" w:hAnsi="Times New Roman"/>
          <w:i/>
          <w:iCs/>
        </w:rPr>
        <w:t>Coupled neutronics–fuel behavior calculations in steady state using the Serpent 2 Monte Carlo code</w:t>
      </w:r>
      <w:r>
        <w:rPr>
          <w:rFonts w:ascii="Times New Roman" w:hAnsi="Times New Roman"/>
        </w:rPr>
        <w:t xml:space="preserve">, Annals of Nuclear Energy, Volume 100, Part 2, 2017, Pages 50-64, ISSN 0306-4549, </w:t>
      </w:r>
      <w:hyperlink r:id="rId28">
        <w:r>
          <w:rPr>
            <w:rStyle w:val="InternetLink"/>
            <w:rFonts w:ascii="Times New Roman" w:hAnsi="Times New Roman"/>
          </w:rPr>
          <w:t>https://doi.org/10.1016/j.anucene.2016.10.015</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Veloso, M. A. (2005) </w:t>
      </w:r>
      <w:r>
        <w:rPr>
          <w:rFonts w:ascii="Times New Roman" w:hAnsi="Times New Roman"/>
          <w:i/>
          <w:iCs/>
        </w:rPr>
        <w:t xml:space="preserve">Avaliação Termo-hidráulica do Reator TRIGA IPR-R1 a 250 kW. </w:t>
      </w:r>
      <w:r>
        <w:rPr>
          <w:rFonts w:ascii="Times New Roman" w:hAnsi="Times New Roman"/>
          <w:lang w:val="pt-BR"/>
        </w:rPr>
        <w:t xml:space="preserve">NI-EC3-05/05, Belo Horizonte-MG, Brazil: Centro de Desenvolvimento da Tecnologia Nuclear (CDTN), Comissão Nacional de Energia Nuclear. </w:t>
      </w:r>
      <w:r>
        <w:rPr>
          <w:rFonts w:ascii="Times New Roman" w:hAnsi="Times New Roman"/>
          <w:i/>
          <w:iCs/>
        </w:rPr>
        <w:t>(in Portuguese)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ed.). (R. M. Stallman, Ed.) Boston: Free Software Foundation.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Zerkak, O., Kozlowski, T. and Gajev,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Mono">
    <w:charset w:val="01"/>
    <w:family w:val="roman"/>
    <w:pitch w:val="variable"/>
  </w:font>
  <w:font w:name="Free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 “</w:t>
      </w:r>
      <w:r>
        <w:rPr/>
        <w:t>Free” as in “free speech” not as in “free beer”.</w:t>
      </w:r>
    </w:p>
  </w:footnote>
  <w:footnote w:id="3">
    <w:p>
      <w:pPr>
        <w:pStyle w:val="Footnotetext"/>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isplayBackgroundShape/>
  <w:embedSystemFonts/>
  <w:defaultTabStop w:val="709"/>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overflowPunct w:val="fals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tabs>
        <w:tab w:val="left" w:pos="0" w:leader="none"/>
      </w:tabs>
      <w:spacing w:before="200" w:after="120"/>
      <w:ind w:left="432" w:hanging="432"/>
      <w:outlineLvl w:val="1"/>
    </w:pPr>
    <w:rPr>
      <w:b/>
      <w:bCs/>
      <w:sz w:val="32"/>
      <w:szCs w:val="32"/>
    </w:rPr>
  </w:style>
  <w:style w:type="paragraph" w:styleId="Heading3">
    <w:name w:val="Heading 3"/>
    <w:basedOn w:val="Heading"/>
    <w:qFormat/>
    <w:pPr>
      <w:tabs>
        <w:tab w:val="left" w:pos="0" w:leader="none"/>
      </w:tabs>
      <w:spacing w:before="140" w:after="120"/>
      <w:ind w:left="432" w:hanging="432"/>
      <w:outlineLvl w:val="2"/>
    </w:pPr>
    <w:rPr>
      <w:b/>
      <w:bCs/>
      <w:color w:val="808080"/>
    </w:rPr>
  </w:style>
  <w:style w:type="paragraph" w:styleId="Heading4">
    <w:name w:val="Heading 4"/>
    <w:basedOn w:val="Heading"/>
    <w:qFormat/>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Symbol" w:hAnsi="Symbol"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Symbol" w:hAnsi="Symbol" w:cs="OpenSymbol"/>
    </w:rPr>
  </w:style>
  <w:style w:type="character" w:styleId="WW8Num4z1" w:customStyle="1">
    <w:name w:val="WW8Num4z1"/>
    <w:qFormat/>
    <w:rPr>
      <w:rFonts w:ascii="OpenSymbol" w:hAnsi="OpenSymbol" w:cs="OpenSymbol"/>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rFonts w:ascii="Times New Roman" w:hAnsi="Times New Roman" w:cs="Times New Roman"/>
      <w:spacing w:val="0"/>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Fontepargpadro3" w:customStyle="1">
    <w:name w:val="Fonte parág. padrão3"/>
    <w:qFormat/>
    <w:rPr/>
  </w:style>
  <w:style w:type="character" w:styleId="Fontepargpadro2" w:customStyle="1">
    <w:name w:val="Fonte parág. padrão2"/>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Fontepargpadro1" w:customStyle="1">
    <w:name w:val="Fonte parág. padrão1"/>
    <w:qFormat/>
    <w:rPr/>
  </w:style>
  <w:style w:type="character" w:styleId="Emphasis">
    <w:name w:val="Emphasis"/>
    <w:qFormat/>
    <w:rPr>
      <w:i/>
      <w:iCs/>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Refdenotaderodap1" w:customStyle="1">
    <w:name w:val="Ref. de nota de rodapé1"/>
    <w:qFormat/>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TextodebaloChar" w:customStyle="1">
    <w:name w:val="Texto de balão Char"/>
    <w:qFormat/>
    <w:rPr>
      <w:rFonts w:ascii="Tahoma" w:hAnsi="Tahoma" w:eastAsia="WenQuanYi Micro Hei" w:cs="Mangal"/>
      <w:sz w:val="16"/>
      <w:szCs w:val="14"/>
      <w:lang w:eastAsia="zh-CN" w:bidi="hi-IN"/>
    </w:rPr>
  </w:style>
  <w:style w:type="character" w:styleId="Refdecomentrio1" w:customStyle="1">
    <w:name w:val="Ref. de comentário1"/>
    <w:qFormat/>
    <w:rPr>
      <w:sz w:val="16"/>
      <w:szCs w:val="16"/>
    </w:rPr>
  </w:style>
  <w:style w:type="character" w:styleId="TextodecomentrioChar" w:customStyle="1">
    <w:name w:val="Texto de comentário Char"/>
    <w:qFormat/>
    <w:rPr>
      <w:rFonts w:ascii="Liberation Serif" w:hAnsi="Liberation Serif" w:eastAsia="WenQuanYi Micro Hei" w:cs="Mangal"/>
      <w:szCs w:val="18"/>
      <w:lang w:eastAsia="zh-CN" w:bidi="hi-IN"/>
    </w:rPr>
  </w:style>
  <w:style w:type="character" w:styleId="AssuntodocomentrioChar" w:customStyle="1">
    <w:name w:val="Assunto do comentário Char"/>
    <w:qFormat/>
    <w:rPr>
      <w:rFonts w:ascii="Liberation Serif" w:hAnsi="Liberation Serif" w:eastAsia="WenQuanYi Micro Hei" w:cs="Mangal"/>
      <w:b/>
      <w:bCs/>
      <w:szCs w:val="18"/>
      <w:lang w:eastAsia="zh-CN" w:bidi="hi-IN"/>
    </w:rPr>
  </w:style>
  <w:style w:type="character" w:styleId="Refdenotaderodap2" w:customStyle="1">
    <w:name w:val="Ref. de nota de rodapé2"/>
    <w:qFormat/>
    <w:rPr>
      <w:vertAlign w:val="superscript"/>
    </w:rPr>
  </w:style>
  <w:style w:type="character" w:styleId="Refdenotadefim1" w:customStyle="1">
    <w:name w:val="Ref. de nota de fim1"/>
    <w:qFormat/>
    <w:rPr>
      <w:vertAlign w:val="superscript"/>
    </w:rPr>
  </w:style>
  <w:style w:type="character" w:styleId="Refdecomentrio2" w:customStyle="1">
    <w:name w:val="Ref. de comentário2"/>
    <w:qFormat/>
    <w:rPr>
      <w:sz w:val="16"/>
      <w:szCs w:val="16"/>
    </w:rPr>
  </w:style>
  <w:style w:type="character" w:styleId="TextodecomentrioChar1" w:customStyle="1">
    <w:name w:val="Texto de comentário Char1"/>
    <w:qFormat/>
    <w:rPr>
      <w:rFonts w:ascii="Liberation Serif" w:hAnsi="Liberation Serif" w:eastAsia="WenQuanYi Micro Hei" w:cs="Mangal"/>
      <w:szCs w:val="18"/>
      <w:lang w:val="en-US" w:eastAsia="zh-CN" w:bidi="hi-IN"/>
    </w:rPr>
  </w:style>
  <w:style w:type="character" w:styleId="Refdenotaderodap3" w:customStyle="1">
    <w:name w:val="Ref. de nota de rodapé3"/>
    <w:qFormat/>
    <w:rPr>
      <w:vertAlign w:val="superscript"/>
    </w:rPr>
  </w:style>
  <w:style w:type="character" w:styleId="Refdenotadefim2" w:customStyle="1">
    <w:name w:val="Ref. de nota de fim2"/>
    <w:qFormat/>
    <w:rPr>
      <w:vertAlign w:val="superscript"/>
    </w:rPr>
  </w:style>
  <w:style w:type="character" w:styleId="Refdecomentrio3" w:customStyle="1">
    <w:name w:val="Ref. de comentário3"/>
    <w:qFormat/>
    <w:rPr>
      <w:sz w:val="16"/>
      <w:szCs w:val="16"/>
    </w:rPr>
  </w:style>
  <w:style w:type="character" w:styleId="TextodecomentrioChar2" w:customStyle="1">
    <w:name w:val="Texto de comentário Char2"/>
    <w:qFormat/>
    <w:rPr>
      <w:rFonts w:ascii="Liberation Serif" w:hAnsi="Liberation Serif" w:eastAsia="WenQuanYi Micro Hei" w:cs="Mangal"/>
      <w:szCs w:val="18"/>
      <w:lang w:eastAsia="zh-CN" w:bidi="hi-IN"/>
    </w:rPr>
  </w:style>
  <w:style w:type="character" w:styleId="Footnotereference">
    <w:name w:val="footnote reference"/>
    <w:qFormat/>
    <w:rPr>
      <w:vertAlign w:val="superscript"/>
    </w:rPr>
  </w:style>
  <w:style w:type="character" w:styleId="Endnotereference">
    <w:name w:val="endnote reference"/>
    <w:qFormat/>
    <w:rPr>
      <w:vertAlign w:val="superscript"/>
    </w:rPr>
  </w:style>
  <w:style w:type="character" w:styleId="Annotationreference">
    <w:name w:val="annotation reference"/>
    <w:basedOn w:val="DefaultParagraphFont"/>
    <w:qFormat/>
    <w:rPr>
      <w:sz w:val="16"/>
      <w:szCs w:val="16"/>
    </w:rPr>
  </w:style>
  <w:style w:type="character" w:styleId="TextodecomentrioChar3" w:customStyle="1">
    <w:name w:val="Texto de comentário Char3"/>
    <w:basedOn w:val="DefaultParagraphFont"/>
    <w:qFormat/>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qFormat/>
    <w:rPr>
      <w:rFonts w:ascii="Liberation Serif" w:hAnsi="Liberation Serif" w:eastAsia="WenQuanYi Micro Hei" w:cs="Mangal"/>
      <w:sz w:val="24"/>
      <w:szCs w:val="21"/>
      <w:lang w:val="en-US" w:eastAsia="zh-CN" w:bidi="hi-IN"/>
    </w:rPr>
  </w:style>
  <w:style w:type="character" w:styleId="ListLabel1" w:customStyle="1">
    <w:name w:val="ListLabel 1"/>
    <w:qFormat/>
    <w:rPr>
      <w:rFonts w:ascii="Times New Roman" w:hAnsi="Times New Roman" w:cs="OpenSymbol"/>
    </w:rPr>
  </w:style>
  <w:style w:type="character" w:styleId="ListLabel2" w:customStyle="1">
    <w:name w:val="ListLabel 2"/>
    <w:qFormat/>
    <w:rPr>
      <w:rFonts w:ascii="Times New Roman" w:hAnsi="Times New Roman" w:cs="Times New Roman"/>
      <w:spacing w:val="0"/>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3" w:customStyle="1">
    <w:name w:val="ListLabel 3"/>
    <w:qFormat/>
    <w:rPr>
      <w:rFonts w:ascii="Times New Roman" w:hAnsi="Times New Roman" w:cs="OpenSymbol"/>
    </w:rPr>
  </w:style>
  <w:style w:type="character" w:styleId="ListLabel4" w:customStyle="1">
    <w:name w:val="ListLabel 4"/>
    <w:qFormat/>
    <w:rPr>
      <w:rFonts w:ascii="Times New Roman" w:hAnsi="Times New Roman" w:cs="Times New Roman"/>
      <w:spacing w:val="0"/>
    </w:rPr>
  </w:style>
  <w:style w:type="character" w:styleId="ListLabel5" w:customStyle="1">
    <w:name w:val="ListLabel 5"/>
    <w:qFormat/>
    <w:rPr>
      <w:rFonts w:ascii="Times New Roman" w:hAnsi="Times New Roman" w:cs="OpenSymbol"/>
    </w:rPr>
  </w:style>
  <w:style w:type="character" w:styleId="ListLabel6" w:customStyle="1">
    <w:name w:val="ListLabel 6"/>
    <w:qFormat/>
    <w:rPr>
      <w:rFonts w:ascii="Times New Roman" w:hAnsi="Times New Roman" w:cs="Times New Roman"/>
      <w:spacing w:val="0"/>
    </w:rPr>
  </w:style>
  <w:style w:type="character" w:styleId="ListLabel7" w:customStyle="1">
    <w:name w:val="ListLabel 7"/>
    <w:qFormat/>
    <w:rPr>
      <w:rFonts w:ascii="Times New Roman" w:hAnsi="Times New Roman" w:cs="OpenSymbol"/>
    </w:rPr>
  </w:style>
  <w:style w:type="character" w:styleId="ListLabel8" w:customStyle="1">
    <w:name w:val="ListLabel 8"/>
    <w:qFormat/>
    <w:rPr>
      <w:rFonts w:ascii="Times New Roman" w:hAnsi="Times New Roman" w:cs="Times New Roman"/>
      <w:spacing w:val="0"/>
    </w:rPr>
  </w:style>
  <w:style w:type="character" w:styleId="ListLabel9" w:customStyle="1">
    <w:name w:val="ListLabel 9"/>
    <w:qFormat/>
    <w:rPr>
      <w:rFonts w:ascii="Times New Roman" w:hAnsi="Times New Roman" w:cs="OpenSymbol"/>
    </w:rPr>
  </w:style>
  <w:style w:type="character" w:styleId="ListLabel10" w:customStyle="1">
    <w:name w:val="ListLabel 10"/>
    <w:qFormat/>
    <w:rPr>
      <w:rFonts w:ascii="Times New Roman" w:hAnsi="Times New Roman" w:cs="Times New Roman"/>
      <w:spacing w:val="0"/>
    </w:rPr>
  </w:style>
  <w:style w:type="character" w:styleId="ListLabel11" w:customStyle="1">
    <w:name w:val="ListLabel 11"/>
    <w:qFormat/>
    <w:rPr>
      <w:rFonts w:ascii="Times New Roman" w:hAnsi="Times New Roman"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ascii="Times New Roman" w:hAnsi="Times New Roman"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ascii="Times New Roman" w:hAnsi="Times New Roman" w:cs="Times New Roman"/>
      <w:spacing w:val="0"/>
    </w:rPr>
  </w:style>
  <w:style w:type="character" w:styleId="ListLabel30" w:customStyle="1">
    <w:name w:val="ListLabel 30"/>
    <w:qFormat/>
    <w:rPr>
      <w:rFonts w:ascii="Times New Roman" w:hAnsi="Times New Roman"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ascii="Times New Roman" w:hAnsi="Times New Roman"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Times New Roman"/>
      <w:spacing w:val="0"/>
    </w:rPr>
  </w:style>
  <w:style w:type="character" w:styleId="ListLabel49">
    <w:name w:val="ListLabel 49"/>
    <w:qFormat/>
    <w:rPr>
      <w:rFonts w:ascii="Times New Roman" w:hAnsi="Times New Roman"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ascii="Times New Roman" w:hAnsi="Times New Roman"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Times New Roman"/>
      <w:spacing w:val="0"/>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ascii="Times New Roman" w:hAnsi="Times New Roman"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Times New Roman"/>
      <w:spacing w:val="0"/>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Times New Roman" w:hAnsi="Times New Roman"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Times New Roman"/>
      <w:spacing w:val="0"/>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Times New Roman" w:hAnsi="Times New Roman"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Times New Roman"/>
      <w:spacing w:val="0"/>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ascii="Times New Roman" w:hAnsi="Times New Roman"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Times New Roman"/>
      <w:spacing w:val="0"/>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ascii="Times New Roman" w:hAnsi="Times New Roman"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Times New Roman"/>
      <w:spacing w:val="0"/>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Times New Roman" w:hAnsi="Times New Roman"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Times New Roman"/>
      <w:spacing w:val="0"/>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Times New Roman" w:hAnsi="Times New Roman"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Times New Roman"/>
      <w:spacing w:val="0"/>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egenda3" w:customStyle="1">
    <w:name w:val="Legenda3"/>
    <w:basedOn w:val="Normal"/>
    <w:qFormat/>
    <w:pPr>
      <w:suppressLineNumbers/>
      <w:spacing w:before="120" w:after="120"/>
    </w:pPr>
    <w:rPr>
      <w:i/>
      <w:iCs/>
    </w:rPr>
  </w:style>
  <w:style w:type="paragraph" w:styleId="Legenda2" w:customStyle="1">
    <w:name w:val="Legenda2"/>
    <w:basedOn w:val="Normal"/>
    <w:qFormat/>
    <w:pPr>
      <w:suppressLineNumbers/>
      <w:spacing w:before="120" w:after="120"/>
    </w:pPr>
    <w:rPr>
      <w:i/>
      <w:iCs/>
    </w:rPr>
  </w:style>
  <w:style w:type="paragraph" w:styleId="Legenda1" w:customStyle="1">
    <w:name w:val="Legenda1"/>
    <w:basedOn w:val="Normal"/>
    <w:qFormat/>
    <w:pPr>
      <w:suppressLineNumbers/>
      <w:spacing w:before="120" w:after="120"/>
    </w:pPr>
    <w:rPr>
      <w:i/>
      <w:iCs/>
    </w:rPr>
  </w:style>
  <w:style w:type="paragraph" w:styleId="Textoindependiente31" w:customStyle="1">
    <w:name w:val="Texto independiente 31"/>
    <w:basedOn w:val="Normal"/>
    <w:qFormat/>
    <w:pPr/>
    <w:rPr>
      <w:rFonts w:ascii="Times New Roman" w:hAnsi="Times New Roman" w:eastAsia="Batang" w:cs="Times New Roman"/>
      <w:lang w:eastAsia="ko-K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imbus Mono L" w:cs="Liberation Mono"/>
      <w:sz w:val="20"/>
      <w:szCs w:val="20"/>
    </w:rPr>
  </w:style>
  <w:style w:type="paragraph" w:styleId="Quotations" w:customStyle="1">
    <w:name w:val="Quotations"/>
    <w:basedOn w:val="Normal"/>
    <w:qFormat/>
    <w:pPr>
      <w:spacing w:before="0" w:after="283"/>
      <w:ind w:left="567" w:right="567" w:hanging="0"/>
    </w:pPr>
    <w:rPr/>
  </w:style>
  <w:style w:type="paragraph" w:styleId="Ttulo1" w:customStyle="1">
    <w:name w:val="Título1"/>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Footnotetext">
    <w:name w:val="footnote text"/>
    <w:basedOn w:val="Normal"/>
    <w:qFormat/>
    <w:pPr/>
    <w:rPr/>
  </w:style>
  <w:style w:type="paragraph" w:styleId="BalloonText">
    <w:name w:val="Balloon Text"/>
    <w:basedOn w:val="Normal"/>
    <w:qFormat/>
    <w:pPr/>
    <w:rPr>
      <w:rFonts w:ascii="Tahoma" w:hAnsi="Tahoma" w:cs="Mangal"/>
      <w:sz w:val="16"/>
      <w:szCs w:val="14"/>
    </w:rPr>
  </w:style>
  <w:style w:type="paragraph" w:styleId="Textodecomentrio1" w:customStyle="1">
    <w:name w:val="Texto de comentário1"/>
    <w:basedOn w:val="Normal"/>
    <w:qFormat/>
    <w:pPr/>
    <w:rPr>
      <w:rFonts w:cs="Mangal"/>
      <w:sz w:val="20"/>
      <w:szCs w:val="18"/>
    </w:rPr>
  </w:style>
  <w:style w:type="paragraph" w:styleId="Annotationsubject">
    <w:name w:val="annotation subject"/>
    <w:basedOn w:val="Textodecomentrio1"/>
    <w:qFormat/>
    <w:pPr/>
    <w:rPr>
      <w:b/>
      <w:bCs/>
    </w:rPr>
  </w:style>
  <w:style w:type="paragraph" w:styleId="Textodecomentrio2" w:customStyle="1">
    <w:name w:val="Texto de comentário2"/>
    <w:basedOn w:val="Normal"/>
    <w:qFormat/>
    <w:pPr/>
    <w:rPr>
      <w:rFonts w:cs="Mangal"/>
      <w:sz w:val="20"/>
      <w:szCs w:val="18"/>
    </w:rPr>
  </w:style>
  <w:style w:type="paragraph" w:styleId="Textodecomentrio3" w:customStyle="1">
    <w:name w:val="Texto de comentário3"/>
    <w:basedOn w:val="Normal"/>
    <w:qFormat/>
    <w:pPr/>
    <w:rPr>
      <w:rFonts w:cs="Mangal"/>
      <w:sz w:val="20"/>
      <w:szCs w:val="18"/>
    </w:rPr>
  </w:style>
  <w:style w:type="paragraph" w:styleId="Annotationtext">
    <w:name w:val="annotation text"/>
    <w:basedOn w:val="Normal"/>
    <w:qFormat/>
    <w:pPr/>
    <w:rPr>
      <w:rFonts w:cs="Mangal"/>
      <w:sz w:val="20"/>
      <w:szCs w:val="18"/>
    </w:rPr>
  </w:style>
  <w:style w:type="paragraph" w:styleId="TextBodyIndent">
    <w:name w:val="Body Text Indent"/>
    <w:basedOn w:val="Normal"/>
    <w:pPr>
      <w:spacing w:before="0" w:after="120"/>
      <w:ind w:left="283" w:hanging="0"/>
    </w:pPr>
    <w:rPr>
      <w:rFonts w:cs="Mangal"/>
      <w:szCs w:val="21"/>
    </w:rPr>
  </w:style>
  <w:style w:type="paragraph" w:styleId="Title">
    <w:name w:val="Title"/>
    <w:basedOn w:val="Heading"/>
    <w:qFormat/>
    <w:pPr/>
    <w:rPr/>
  </w:style>
  <w:style w:type="paragraph" w:styleId="ListParagraph">
    <w:name w:val="List Paragraph"/>
    <w:basedOn w:val="Normal"/>
    <w:uiPriority w:val="34"/>
    <w:qFormat/>
    <w:rsid w:val="00232c82"/>
    <w:pPr>
      <w:spacing w:before="0" w:after="0"/>
      <w:ind w:left="720" w:hanging="0"/>
      <w:contextualSpacing/>
    </w:pPr>
    <w:rPr>
      <w:rFonts w:cs="Mangal"/>
      <w:szCs w:val="21"/>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dx.doi.org/10.1016/j.anucene.2016.05.008" TargetMode="External"/><Relationship Id="rId21" Type="http://schemas.openxmlformats.org/officeDocument/2006/relationships/hyperlink" Target="http://dx.doi.org/10.1016/j.anucene.2017.04.030" TargetMode="External"/><Relationship Id="rId22" Type="http://schemas.openxmlformats.org/officeDocument/2006/relationships/hyperlink" Target="http://www.gnu.org/licenses/gpl.html" TargetMode="External"/><Relationship Id="rId23" Type="http://schemas.openxmlformats.org/officeDocument/2006/relationships/hyperlink" Target="http://dx.doi.org/10.1016/j.advengsoft.2016.01.014" TargetMode="External"/><Relationship Id="rId24" Type="http://schemas.openxmlformats.org/officeDocument/2006/relationships/hyperlink" Target="http://dx.doi.org/10.1016/0045-7825(74)90029-2" TargetMode="External"/><Relationship Id="rId25" Type="http://schemas.openxmlformats.org/officeDocument/2006/relationships/hyperlink" Target="http://dx.doi.org/10.1016/j.anucene.2014.08.024" TargetMode="External"/><Relationship Id="rId26" Type="http://schemas.openxmlformats.org/officeDocument/2006/relationships/hyperlink" Target="http://dx.doi.org/10.1016/j.anucene.2016.06.007" TargetMode="External"/><Relationship Id="rId27" Type="http://schemas.openxmlformats.org/officeDocument/2006/relationships/hyperlink" Target="https://www.seamplex.com/milonga" TargetMode="External"/><Relationship Id="rId28" Type="http://schemas.openxmlformats.org/officeDocument/2006/relationships/hyperlink" Target="https://doi.org/10.1016/j.anucene.2016.10.015" TargetMode="Externa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3399</TotalTime>
  <Application>LibreOffice/5.2.7.2$Linux_X86_64 LibreOffice_project/20$Build-2</Application>
  <Pages>25</Pages>
  <Words>7907</Words>
  <Characters>45416</Characters>
  <CharactersWithSpaces>52952</CharactersWithSpaces>
  <Paragraphs>395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2017-10-02T23:34:00Z</dcterms:created>
  <dc:creator>Andre</dc:creator>
  <dc:description/>
  <dc:language>en-US</dc:language>
  <cp:lastModifiedBy/>
  <cp:lastPrinted>2016-11-09T17:04:00Z</cp:lastPrinted>
  <dcterms:modified xsi:type="dcterms:W3CDTF">2018-01-12T16:58:12Z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