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jc w:val="both"/>
        <w:rPr>
          <w:rFonts w:ascii="Montserrat" w:cs="Montserrat" w:eastAsia="Montserrat" w:hAnsi="Montserrat"/>
          <w:color w:val="0b5394"/>
          <w:sz w:val="36"/>
          <w:szCs w:val="36"/>
        </w:rPr>
      </w:pPr>
      <w:bookmarkStart w:colFirst="0" w:colLast="0" w:name="_gmc6n6k5g52h" w:id="0"/>
      <w:bookmarkEnd w:id="0"/>
      <w:r w:rsidDel="00000000" w:rsidR="00000000" w:rsidRPr="00000000">
        <w:rPr>
          <w:rFonts w:ascii="Montserrat" w:cs="Montserrat" w:eastAsia="Montserrat" w:hAnsi="Montserrat"/>
          <w:color w:val="0b5394"/>
          <w:sz w:val="36"/>
          <w:szCs w:val="36"/>
          <w:rtl w:val="0"/>
        </w:rPr>
        <w:t xml:space="preserve">Class X: Liability &amp; Personal Assistants</w:t>
        <w:br w:type="textWrapping"/>
        <w:t xml:space="preserve">|</w:t>
      </w:r>
      <w:r w:rsidDel="00000000" w:rsidR="00000000" w:rsidRPr="00000000">
        <w:rPr>
          <w:rFonts w:ascii="Montserrat" w:cs="Montserrat" w:eastAsia="Montserrat" w:hAnsi="Montserrat"/>
          <w:b w:val="0"/>
          <w:color w:val="0b5394"/>
          <w:sz w:val="36"/>
          <w:szCs w:val="36"/>
          <w:rtl w:val="0"/>
        </w:rPr>
        <w:t xml:space="preserve"> Pre-Class Handout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="276" w:lineRule="auto"/>
        <w:jc w:val="both"/>
        <w:rPr>
          <w:rFonts w:ascii="Montserrat" w:cs="Montserrat" w:eastAsia="Montserrat" w:hAnsi="Montserrat"/>
          <w:sz w:val="22"/>
          <w:szCs w:val="22"/>
          <w:vertAlign w:val="superscript"/>
        </w:rPr>
      </w:pPr>
      <w:bookmarkStart w:colFirst="0" w:colLast="0" w:name="_srvutj7yjz9f" w:id="1"/>
      <w:bookmarkEnd w:id="1"/>
      <w:r w:rsidDel="00000000" w:rsidR="00000000" w:rsidRPr="00000000">
        <w:rPr>
          <w:rFonts w:ascii="Montserrat SemiBold" w:cs="Montserrat SemiBold" w:eastAsia="Montserrat SemiBold" w:hAnsi="Montserrat SemiBold"/>
          <w:color w:val="0b5394"/>
          <w:sz w:val="28"/>
          <w:szCs w:val="28"/>
          <w:rtl w:val="0"/>
        </w:rPr>
        <w:t xml:space="preserve">Pre-Class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0" w:before="0" w:line="312" w:lineRule="auto"/>
        <w:jc w:val="both"/>
        <w:rPr>
          <w:rFonts w:ascii="Montserrat SemiBold" w:cs="Montserrat SemiBold" w:eastAsia="Montserrat SemiBold" w:hAnsi="Montserrat SemiBold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Montserrat SemiBold" w:cs="Montserrat SemiBold" w:eastAsia="Montserrat SemiBold" w:hAnsi="Montserrat SemiBold"/>
          <w:color w:val="000000"/>
          <w:sz w:val="24"/>
          <w:szCs w:val="24"/>
          <w:rtl w:val="0"/>
        </w:rPr>
        <w:t xml:space="preserve">Law Students</w:t>
      </w:r>
    </w:p>
    <w:p w:rsidR="00000000" w:rsidDel="00000000" w:rsidP="00000000" w:rsidRDefault="00000000" w:rsidRPr="00000000" w14:paraId="00000006">
      <w:pPr>
        <w:spacing w:line="312" w:lineRule="auto"/>
        <w:jc w:val="both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[45 minutes]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Please read the case study found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and prepare to present it briefly (~3 minutes) to the Data Science students in your team. Focus on understanding who the parties/stakeholders are.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Please prepare a slide or two.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Submit your presentation via Gradescope [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2"/>
            <w:szCs w:val="22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]. This assignment is mandatory, but not graded.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jc w:val="both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0" w:before="0" w:line="312" w:lineRule="auto"/>
        <w:rPr>
          <w:rFonts w:ascii="Montserrat SemiBold" w:cs="Montserrat SemiBold" w:eastAsia="Montserrat SemiBold" w:hAnsi="Montserrat SemiBold"/>
          <w:color w:val="00000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Montserrat SemiBold" w:cs="Montserrat SemiBold" w:eastAsia="Montserrat SemiBold" w:hAnsi="Montserrat SemiBold"/>
          <w:color w:val="000000"/>
          <w:sz w:val="24"/>
          <w:szCs w:val="24"/>
          <w:rtl w:val="0"/>
        </w:rPr>
        <w:t xml:space="preserve">Data Science / Computer Science Students</w:t>
      </w:r>
    </w:p>
    <w:p w:rsidR="00000000" w:rsidDel="00000000" w:rsidP="00000000" w:rsidRDefault="00000000" w:rsidRPr="00000000" w14:paraId="00000009">
      <w:pPr>
        <w:spacing w:line="312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[15 minutes]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Experiment with the Sentiment Analysis mechanism called Ask Delphi (which can be found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spacing w:line="312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Delphi is an AI that, given an input in the form of a sentence, produces a verbal moral judgment on that input. The inputs are either: </w:t>
      </w:r>
    </w:p>
    <w:p w:rsidR="00000000" w:rsidDel="00000000" w:rsidP="00000000" w:rsidRDefault="00000000" w:rsidRPr="00000000" w14:paraId="0000000B">
      <w:pPr>
        <w:spacing w:before="200" w:line="312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(1)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Freeform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– general statements requiring a free-form answer. </w:t>
      </w:r>
    </w:p>
    <w:p w:rsidR="00000000" w:rsidDel="00000000" w:rsidP="00000000" w:rsidRDefault="00000000" w:rsidRPr="00000000" w14:paraId="0000000C">
      <w:pPr>
        <w:spacing w:line="312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(2)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Yes\no QA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– Binary questions with prolonged yes\no answers. </w:t>
      </w:r>
    </w:p>
    <w:p w:rsidR="00000000" w:rsidDel="00000000" w:rsidP="00000000" w:rsidRDefault="00000000" w:rsidRPr="00000000" w14:paraId="0000000D">
      <w:pPr>
        <w:spacing w:line="312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(3)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Relative statements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– in the form of a comparison between two free-form statements. For example:</w:t>
      </w:r>
    </w:p>
    <w:p w:rsidR="00000000" w:rsidDel="00000000" w:rsidP="00000000" w:rsidRDefault="00000000" w:rsidRPr="00000000" w14:paraId="0000000E">
      <w:pPr>
        <w:spacing w:line="312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</w:rPr>
        <w:drawing>
          <wp:inline distB="0" distT="0" distL="0" distR="0">
            <wp:extent cx="5943600" cy="1222375"/>
            <wp:effectExtent b="0" l="0" r="0" t="0"/>
            <wp:docPr descr="Graphical user interface, text, application&#10;&#10;Description automatically generated" id="1" name="image2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The site provides default input, although you can also make custom queries to Delphi. Try experimenting with different inputs. When you’re ready proceed to the next part.</w:t>
      </w:r>
    </w:p>
    <w:p w:rsidR="00000000" w:rsidDel="00000000" w:rsidP="00000000" w:rsidRDefault="00000000" w:rsidRPr="00000000" w14:paraId="00000010">
      <w:pPr>
        <w:pStyle w:val="Heading4"/>
        <w:spacing w:line="312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Instructions:</w:t>
      </w:r>
    </w:p>
    <w:p w:rsidR="00000000" w:rsidDel="00000000" w:rsidP="00000000" w:rsidRDefault="00000000" w:rsidRPr="00000000" w14:paraId="00000011">
      <w:pPr>
        <w:spacing w:line="312" w:lineRule="auto"/>
        <w:ind w:left="0" w:firstLine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Answer the following questions on your own, and then prepare a short (~3 minutes) presentation to make to the Law students in your team, based on what you’ve learned. Submit your presentation via Gradescope [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2"/>
            <w:szCs w:val="22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]. This assignment is mandatory, but not graded.</w:t>
      </w:r>
    </w:p>
    <w:p w:rsidR="00000000" w:rsidDel="00000000" w:rsidP="00000000" w:rsidRDefault="00000000" w:rsidRPr="00000000" w14:paraId="00000012">
      <w:pPr>
        <w:spacing w:line="312" w:lineRule="auto"/>
        <w:ind w:left="0" w:firstLine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12" w:lineRule="auto"/>
        <w:ind w:left="720" w:hanging="36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How does the color of the text change with regards to the input?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12" w:lineRule="auto"/>
        <w:ind w:left="720" w:hanging="36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When hovering over the output (works for prior queries as well), some additional information is revealed in the form of “Class”, “Text”, “ModelVersion”, and “ToxicityScore”. Run 5 default inputs and complete the information regarding each input in the following table.</w:t>
      </w:r>
    </w:p>
    <w:tbl>
      <w:tblPr>
        <w:tblStyle w:val="Table1"/>
        <w:tblW w:w="7644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1"/>
        <w:gridCol w:w="1433"/>
        <w:gridCol w:w="1445"/>
        <w:gridCol w:w="1447"/>
        <w:gridCol w:w="1869"/>
        <w:tblGridChange w:id="0">
          <w:tblGrid>
            <w:gridCol w:w="1451"/>
            <w:gridCol w:w="1433"/>
            <w:gridCol w:w="1445"/>
            <w:gridCol w:w="1447"/>
            <w:gridCol w:w="1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Text (Output)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Text </w:t>
            </w:r>
          </w:p>
          <w:p w:rsidR="00000000" w:rsidDel="00000000" w:rsidP="00000000" w:rsidRDefault="00000000" w:rsidRPr="00000000" w14:paraId="00000018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Color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Toxicity 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12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12" w:lineRule="auto"/>
              <w:jc w:val="both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312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12" w:lineRule="auto"/>
        <w:ind w:left="720" w:hanging="36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Let’s analyze the meanings of different attributes. Answer concisely.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12" w:lineRule="auto"/>
        <w:ind w:left="1440" w:hanging="36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What’s the meaning of “Class”? What are the different classes?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312" w:lineRule="auto"/>
        <w:ind w:left="1440" w:hanging="36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What do different text colors represent?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12" w:lineRule="auto"/>
        <w:ind w:left="1440" w:hanging="36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What does Toxicity Score represent?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12" w:lineRule="auto"/>
        <w:ind w:left="720" w:hanging="36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Some inputs are different than others.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12" w:lineRule="auto"/>
        <w:ind w:left="1440" w:hanging="360"/>
        <w:jc w:val="both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Try running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“Feeding your cat using forks”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“Feeding your friend using knives”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What’s a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major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visual difference between the two? How does the text under the input alter? Has anything changed in the top-right corner of the output?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312" w:lineRule="auto"/>
        <w:ind w:left="1440" w:hanging="360"/>
        <w:jc w:val="both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What are the “Toxicity Score” values of the two inputs?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12" w:lineRule="auto"/>
        <w:ind w:left="1440" w:hanging="360"/>
        <w:jc w:val="both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In your opinion, what is the reason for the difference between these inputs? Your answer should relate to both the input and the output.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line="312" w:lineRule="auto"/>
      <w:jc w:val="center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sz w:val="22"/>
        <w:szCs w:val="22"/>
        <w:rtl w:val="0"/>
      </w:rPr>
      <w:t xml:space="preserve">//   </w:t>
    </w:r>
    <w:hyperlink r:id="rId1">
      <w:r w:rsidDel="00000000" w:rsidR="00000000" w:rsidRPr="00000000">
        <w:rPr>
          <w:rFonts w:ascii="Montserrat" w:cs="Montserrat" w:eastAsia="Montserrat" w:hAnsi="Montserrat"/>
          <w:color w:val="1155cc"/>
          <w:sz w:val="22"/>
          <w:szCs w:val="22"/>
          <w:u w:val="single"/>
          <w:rtl w:val="0"/>
        </w:rPr>
        <w:t xml:space="preserve">https://learn.responsibly.ai</w:t>
      </w:r>
    </w:hyperlink>
    <w:r w:rsidDel="00000000" w:rsidR="00000000" w:rsidRPr="00000000">
      <w:rPr>
        <w:rFonts w:ascii="Montserrat" w:cs="Montserrat" w:eastAsia="Montserrat" w:hAnsi="Montserrat"/>
        <w:rtl w:val="0"/>
      </w:rPr>
      <w:t xml:space="preserve">  //</w:t>
    </w:r>
  </w:p>
  <w:p w:rsidR="00000000" w:rsidDel="00000000" w:rsidP="00000000" w:rsidRDefault="00000000" w:rsidRPr="00000000" w14:paraId="00000041">
    <w:pPr>
      <w:bidi w:val="1"/>
      <w:spacing w:line="240" w:lineRule="auto"/>
      <w:rPr>
        <w:rFonts w:ascii="Montserrat" w:cs="Montserrat" w:eastAsia="Montserrat" w:hAnsi="Montserrat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bidi w:val="1"/>
      <w:spacing w:line="240" w:lineRule="auto"/>
      <w:jc w:val="center"/>
      <w:rPr/>
    </w:pPr>
    <w:r w:rsidDel="00000000" w:rsidR="00000000" w:rsidRPr="00000000">
      <w:rPr>
        <w:rFonts w:ascii="Montserrat" w:cs="Montserrat" w:eastAsia="Montserrat" w:hAnsi="Montserrat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line="312" w:lineRule="auto"/>
      <w:jc w:val="center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sz w:val="22"/>
        <w:szCs w:val="22"/>
        <w:rtl w:val="0"/>
      </w:rPr>
      <w:t xml:space="preserve">//   </w:t>
    </w:r>
    <w:hyperlink r:id="rId1">
      <w:r w:rsidDel="00000000" w:rsidR="00000000" w:rsidRPr="00000000">
        <w:rPr>
          <w:rFonts w:ascii="Montserrat" w:cs="Montserrat" w:eastAsia="Montserrat" w:hAnsi="Montserrat"/>
          <w:color w:val="1155cc"/>
          <w:sz w:val="22"/>
          <w:szCs w:val="22"/>
          <w:u w:val="single"/>
          <w:rtl w:val="0"/>
        </w:rPr>
        <w:t xml:space="preserve">https://learn.responsibly.ai</w:t>
      </w:r>
    </w:hyperlink>
    <w:r w:rsidDel="00000000" w:rsidR="00000000" w:rsidRPr="00000000">
      <w:rPr>
        <w:rFonts w:ascii="Montserrat" w:cs="Montserrat" w:eastAsia="Montserrat" w:hAnsi="Montserrat"/>
        <w:rtl w:val="0"/>
      </w:rPr>
      <w:t xml:space="preserve">  //</w:t>
    </w:r>
  </w:p>
  <w:p w:rsidR="00000000" w:rsidDel="00000000" w:rsidP="00000000" w:rsidRDefault="00000000" w:rsidRPr="00000000" w14:paraId="00000044">
    <w:pPr>
      <w:bidi w:val="1"/>
      <w:spacing w:line="240" w:lineRule="auto"/>
      <w:rPr>
        <w:rFonts w:ascii="Montserrat" w:cs="Montserrat" w:eastAsia="Montserrat" w:hAnsi="Montserrat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bidi w:val="1"/>
      <w:spacing w:line="240" w:lineRule="auto"/>
      <w:jc w:val="center"/>
      <w:rPr/>
    </w:pPr>
    <w:r w:rsidDel="00000000" w:rsidR="00000000" w:rsidRPr="00000000">
      <w:rPr>
        <w:rFonts w:ascii="Montserrat" w:cs="Montserrat" w:eastAsia="Montserrat" w:hAnsi="Montserrat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spacing w:line="324.00000000000006" w:lineRule="auto"/>
      <w:ind w:left="1440" w:right="-714.9212598425191" w:hanging="360"/>
      <w:rPr>
        <w:rFonts w:ascii="Montserrat" w:cs="Montserrat" w:eastAsia="Montserrat" w:hAnsi="Montserrat"/>
        <w:color w:val="0b5394"/>
        <w:sz w:val="22"/>
        <w:szCs w:val="22"/>
      </w:rPr>
    </w:pPr>
    <w:r w:rsidDel="00000000" w:rsidR="00000000" w:rsidRPr="00000000">
      <w:rPr>
        <w:rFonts w:ascii="Montserrat" w:cs="Montserrat" w:eastAsia="Montserrat" w:hAnsi="Montserrat"/>
      </w:rPr>
      <w:drawing>
        <wp:inline distB="114300" distT="114300" distL="114300" distR="114300">
          <wp:extent cx="1480850" cy="11106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0850" cy="1110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ontserrat" w:cs="Montserrat" w:eastAsia="Montserrat" w:hAnsi="Montserrat"/>
        <w:color w:val="0b5394"/>
        <w:sz w:val="22"/>
        <w:szCs w:val="22"/>
        <w:rtl w:val="0"/>
      </w:rPr>
      <w:t xml:space="preserve">Responsible AI, Law, Ethics &amp; Society</w:t>
    </w:r>
  </w:p>
  <w:p w:rsidR="00000000" w:rsidDel="00000000" w:rsidP="00000000" w:rsidRDefault="00000000" w:rsidRPr="00000000" w14:paraId="0000003F">
    <w:pPr>
      <w:spacing w:line="324.00000000000006" w:lineRule="auto"/>
      <w:ind w:left="1440" w:right="-714.9212598425191" w:hanging="360"/>
      <w:rPr>
        <w:rFonts w:ascii="Montserrat" w:cs="Montserrat" w:eastAsia="Montserrat" w:hAnsi="Montserrat"/>
        <w:color w:val="0b5394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o.responsibly.ai/gradescope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37y_99TJFZdn40IB6xjUJ8NmCkSbE1ca6477C4Jupo/edit?usp=sharing" TargetMode="External"/><Relationship Id="rId7" Type="http://schemas.openxmlformats.org/officeDocument/2006/relationships/hyperlink" Target="https://go.responsibly.ai/gradescope" TargetMode="External"/><Relationship Id="rId8" Type="http://schemas.openxmlformats.org/officeDocument/2006/relationships/hyperlink" Target="https://delphi.allenai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learn.responsibly.ai/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learn.responsibly.ai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