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A9B"/>
          <w:sz w:val="72"/>
          <w:szCs w:val="72"/>
        </w:rPr>
        <w:t xml:space="preserve">UniCo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E5E5E"/>
          <w:sz w:val="26"/>
          <w:szCs w:val="26"/>
        </w:rPr>
        <w:t xml:space="preserve">A comunidade de economia circular do teu campus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Análise SWOT e Modelo de Negócio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E5E5E"/>
          <w:sz w:val="22"/>
          <w:szCs w:val="22"/>
        </w:rPr>
        <w:t xml:space="preserve">Comportamento Organizacional  ·  Projeto Interdisciplinar PI1  ·  DTAM 2025/2026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E5E5E"/>
          <w:sz w:val="22"/>
          <w:szCs w:val="22"/>
        </w:rPr>
        <w:t xml:space="preserve">ESMAD – Escola Superior de Media, Artes e Design  ·  Politécnico do Porto</w:t>
      </w:r>
    </w:p>
    <w:p>
      <w:pPr>
        <w:pBdr>
          <w:bottom w:val="single" w:color="2C2A9B" w:sz="6" w:space="1"/>
        </w:pBdr>
        <w:spacing w:after="40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A9B"/>
          <w:sz w:val="32"/>
          <w:szCs w:val="32"/>
        </w:rPr>
        <w:t xml:space="preserve">1. Introdução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UniCo é uma Progressive Web App (PWA) desenvolvida no âmbito do Projeto Interdisciplinar do 1.º ano do CTeSP em Design e Tecnologias para Aplicações Móveis (DTAM). A aplicação cria um marketplace de economia circular exclusivo para a comunidade de um campus universitário, permitindo que estudantes publiquem, descubram e adquiram artigos em segunda mão — desde manuais e equipamento informático a material de laboratório ou de uso pessoal.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enquadra-se no ODS 11 – Cidades e Comunidades Sustentáveis, promovendo a reutilização de bens, a redução de resíduos e a construção de uma comunidade universitária mais consciente e sustentável.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A9B"/>
          <w:sz w:val="32"/>
          <w:szCs w:val="32"/>
        </w:rPr>
        <w:t xml:space="preserve">2. Análise SWOT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análise SWOT identifica os fatores internos (Forças e Fraquezas) e externos (Oportunidades e Ameaças) que influenciam o posicionamento estratégico da UniCo.</w:t>
      </w:r>
    </w:p>
    <w:p>
      <w:pPr>
        <w:spacing w:after="16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FORÇAS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Strengths</w:t>
            </w:r>
          </w:p>
        </w:tc>
        <w:tc>
          <w:tcPr>
            <w:tcW w:type="dxa" w:w="7746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D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instalável sem loja de aplicações, com suporte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Foco num nicho bem definido: a comunidade universitária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Alinhamento direto com o ODS 11 (economia circular no campus)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simples e intuitiva, adaptada a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mensagens integrado para negociação entre utilizadores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de até 5 fotografias por anúncio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Dois tipos de utilizadores (regular + administrador) com controlo de conteúdo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escalável com Supabase (auth, storage, BD em tempo real)</w:t>
            </w:r>
          </w:p>
        </w:tc>
      </w:tr>
      <w:tr>
        <w:tc>
          <w:tcPr>
            <w:tcW w:type="dxa" w:w="20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FRAQUEZAS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Weaknesses</w:t>
            </w:r>
          </w:p>
        </w:tc>
        <w:tc>
          <w:tcPr>
            <w:tcW w:type="dxa" w:w="7746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 de utilizadores para gerar conteúdo (plataforma de dois lados)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sistema de pagamento integrado — transações realizadas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limitado ao campus universitário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Ausência de sistema de avaliações e reputação de vendedores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notificações push para novas mensagens (ainda)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Recursos de desenvolvimento limitados (projeto académico)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moderação automatizada de conteúdo inapropriado</w:t>
            </w:r>
          </w:p>
        </w:tc>
      </w:tr>
      <w:tr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OPORTUNIDADES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Opportunities</w:t>
            </w:r>
          </w:p>
        </w:tc>
        <w:tc>
          <w:tcPr>
            <w:tcW w:type="dxa" w:w="774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Crescente consciência ambiental e cultura de consumo sustentável nos jovens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rotatividade de manuais, equipamento e material no ambiente universitário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Expansão futura para outros campi e universidades parceiras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Parcerias com associações de estudantes e serviços académicos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Apoios e financiamentos europeus para projetos de economia circular (ex: Agenda 2030)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Monetização futura: anúncios destacados, comissões ou plano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com plataformas de doação a instituições de caridade</w:t>
            </w:r>
          </w:p>
        </w:tc>
      </w:tr>
      <w:tr>
        <w:tc>
          <w:tcPr>
            <w:tcW w:type="dxa" w:w="20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AMEACAS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Threats</w:t>
            </w:r>
          </w:p>
        </w:tc>
        <w:tc>
          <w:tcPr>
            <w:tcW w:type="dxa" w:w="7746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Concorrência de plataformas estabelecidas: OLX, Facebook Marketplace, Vinted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Problema de arranque: necessidade de massa crítica de utilizadores e anúncios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Preocupações de segurança em encontros para troca de artigos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 de infraestrutura de terceiros (Supabase, hosting)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Cumprimento do RGPD e proteção de dados de estudantes menores de 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Risco de abandono da plataforma após o período letivo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A9B"/>
          <w:sz w:val="32"/>
          <w:szCs w:val="32"/>
        </w:rPr>
        <w:t xml:space="preserve">3. Modelo de Negócio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Modelo de Negócio da UniCo é apresentado segundo a metodologia Business Model Canvas (Osterwalder &amp; Pigneur), que estrutura a proposta de valor e os componentes estratégicos em nove blocos interdependentes.</w:t>
      </w:r>
    </w:p>
    <w:p>
      <w:pPr>
        <w:spacing w:after="16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52"/>
        <w:gridCol w:w="1949"/>
        <w:gridCol w:w="1947"/>
      </w:tblGrid>
      <w:tr>
        <w:tc>
          <w:tcPr>
            <w:tcW w:type="dxa" w:w="1949"/>
            <w:tcBorders>
              <w:top w:val="single" w:color="2C2A9B" w:sz="4"/>
              <w:left w:val="single" w:color="2C2A9B" w:sz="4"/>
              <w:bottom w:val="single" w:color="2C2A9B" w:sz="4"/>
              <w:right w:val="single" w:color="2C2A9B" w:sz="4"/>
            </w:tcBorders>
            <w:shd w:fill="EEED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A9B"/>
                <w:sz w:val="20"/>
                <w:szCs w:val="20"/>
              </w:rPr>
              <w:t xml:space="preserve">Parcerias-chave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ESMAD / Politécnico do Porto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(infraestrutura cloud)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Associações de estudantes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Serviços Académicos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Entidades de apoio à sustentabilidade (ex: LIPOR)</w:t>
            </w:r>
          </w:p>
        </w:tc>
        <w:tc>
          <w:tcPr>
            <w:tcW w:type="dxa" w:w="1949"/>
            <w:tcBorders>
              <w:top w:val="single" w:color="5E5E5E" w:sz="4"/>
              <w:left w:val="single" w:color="5E5E5E" w:sz="4"/>
              <w:bottom w:val="single" w:color="5E5E5E" w:sz="4"/>
              <w:right w:val="single" w:color="5E5E5E" w:sz="4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12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5E5E5E"/>
                <w:sz w:val="20"/>
                <w:szCs w:val="20"/>
              </w:rPr>
              <w:t xml:space="preserve">Atividades-chave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Desenvolvimento e manutenção da PWA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Moderação e gestão de conteúdo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Aquisição e retenção de utilizadores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Suporte e comunicação com a comunidade</w:t>
            </w:r>
          </w:p>
          <w:p>
            <w:pPr>
              <w:pBdr>
                <w:bottom w:val="single" w:color="CCCCCC" w:sz="4" w:space="1"/>
              </w:pBdr>
              <w:spacing w:after="80" w:before="80"/>
            </w:pPr>
          </w:p>
          <w:p>
            <w:pPr>
              <w:spacing w:after="6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5E5E5E"/>
                <w:sz w:val="20"/>
                <w:szCs w:val="20"/>
              </w:rPr>
              <w:t xml:space="preserve">Recursos-chave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Plataforma tecnológica (PWA + 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de utilizadores estudantis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Conteúdo gerado pelos utilizadores (UGC)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Equipa de desenvolvimento</w:t>
            </w:r>
          </w:p>
          <w:p>
            <w:pPr>
              <w:spacing w:after="80" w:before="80"/>
            </w:pPr>
          </w:p>
        </w:tc>
        <w:tc>
          <w:tcPr>
            <w:tcW w:type="dxa" w:w="1952"/>
            <w:tcBorders>
              <w:top w:val="single" w:color="2C2A9B" w:sz="4"/>
              <w:left w:val="single" w:color="2C2A9B" w:sz="4"/>
              <w:bottom w:val="single" w:color="2C2A9B" w:sz="4"/>
              <w:right w:val="single" w:color="2C2A9B" w:sz="4"/>
            </w:tcBorders>
            <w:shd w:fill="EEED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A9B"/>
                <w:sz w:val="20"/>
                <w:szCs w:val="20"/>
              </w:rPr>
              <w:t xml:space="preserve">Proposta de Valor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Marketplace sustentável exclusivo para o campus universitário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Compra, venda e troca de artigos em segunda mão entre estudantes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Redução de resíduos e promoção da economia circular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Acesso fácil via PWA — sem instalação de loja de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Comunidade de confiança com moderação ativa</w:t>
            </w:r>
          </w:p>
        </w:tc>
        <w:tc>
          <w:tcPr>
            <w:tcW w:type="dxa" w:w="1949"/>
            <w:tcBorders>
              <w:top w:val="single" w:color="5E5E5E" w:sz="4"/>
              <w:left w:val="single" w:color="5E5E5E" w:sz="4"/>
              <w:bottom w:val="single" w:color="5E5E5E" w:sz="4"/>
              <w:right w:val="single" w:color="5E5E5E" w:sz="4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12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5E5E5E"/>
                <w:sz w:val="20"/>
                <w:szCs w:val="20"/>
              </w:rPr>
              <w:t xml:space="preserve">Relacao com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Mensagens diretas entre utilizadores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Moderacao por administradores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de favoritos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Notificacoes de novos anuncios</w:t>
            </w:r>
          </w:p>
          <w:p>
            <w:pPr>
              <w:pBdr>
                <w:bottom w:val="single" w:color="CCCCCC" w:sz="4" w:space="1"/>
              </w:pBdr>
              <w:spacing w:after="80" w:before="80"/>
            </w:pPr>
          </w:p>
          <w:p>
            <w:pPr>
              <w:spacing w:after="6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5E5E5E"/>
                <w:sz w:val="20"/>
                <w:szCs w:val="20"/>
              </w:rPr>
              <w:t xml:space="preserve">Canais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PWA acessivel pelo browser (mobile e desktop)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Partilha social e passa-palavra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Redes sociais e canais da universidade</w:t>
            </w:r>
          </w:p>
          <w:p>
            <w:pPr>
              <w:spacing w:after="80" w:before="80"/>
            </w:pPr>
          </w:p>
        </w:tc>
        <w:tc>
          <w:tcPr>
            <w:tcW w:type="dxa" w:w="1947"/>
            <w:tcBorders>
              <w:top w:val="single" w:color="2C2A9B" w:sz="4"/>
              <w:left w:val="single" w:color="2C2A9B" w:sz="4"/>
              <w:bottom w:val="single" w:color="2C2A9B" w:sz="4"/>
              <w:right w:val="single" w:color="2C2A9B" w:sz="4"/>
            </w:tcBorders>
            <w:shd w:fill="EEED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A9B"/>
                <w:sz w:val="20"/>
                <w:szCs w:val="20"/>
              </w:rPr>
              <w:t xml:space="preserve">Segmentos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Estudantes universitarios (compradores e vendedores)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Administradores da plataforma (gestao de conteudo)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Potencial expansao: outros campi e comunidades academicas</w:t>
            </w:r>
          </w:p>
        </w:tc>
      </w:tr>
      <w:tr>
        <w:tc>
          <w:tcPr>
            <w:tcW w:type="dxa" w:w="4898"/>
            <w:gridSpan w:val="2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Estrutura de Custos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Desenvolvimento e manutencao da plataforma (tempo de equipa)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Infraestrutura cloud — Supabase (plano gratuito na fase inicial)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Marketing e comunicacao (redes sociais, cartazes no campus)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Dominio e hosting do servico web</w:t>
            </w:r>
          </w:p>
        </w:tc>
        <w:tc>
          <w:tcPr>
            <w:tcW w:type="dxa" w:w="1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0" w:before="0"/>
            </w:pPr>
          </w:p>
        </w:tc>
        <w:tc>
          <w:tcPr>
            <w:tcW w:type="dxa" w:w="3896"/>
            <w:gridSpan w:val="2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D6EF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Fontes de Receita (futuras)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Anuncios destacados e plano premium para vendedores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Parcerias com entidades universitarias ou municipais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Subsidios e apoios para projetos de economia circular (ex: Agenda 2030)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Comissao percentual sobre transacoes (fase de crescimento)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A9B"/>
          <w:sz w:val="32"/>
          <w:szCs w:val="32"/>
        </w:rPr>
        <w:t xml:space="preserve">4. Análise Estratégica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base na análise SWOT e no Modelo de Negócio, identificam-se quatro orientações estratégicas para a UniCo: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SO — Alavancagem (Forças × Oportunidades)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UniCo deve capitalizar a sua natureza de PWA — que elimina barreiras de instalação — aliada à crescente consciência ambiental dos estudantes. A expansão progressiva a outros campi constitui a principal via de crescimento, aproveitando a infraestrutura escalável do Supabase e as parcerias com associações de estudantes.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ST — Defesa (Forças × Ameaças)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 à concorrência de plataformas generalistas (OLX, Facebook Marketplace), a UniCo deve reforçar o seu diferencial: o contexto de confiança da comunidade universitária. A moderação ativa por administradores e o sistema de mensagens integrado criam um ambiente mais seguro e relevante para o público estudantil.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WO — Melhoria (Fraquezas × Oportunidades)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ausência de pagamento integrado pode ser colmatada com parcerias com serviços de pagamento estudantis ou vouchers de cantina. O sistema de avaliações/reputação de vendedores, ainda em falta, pode ser priorizado numa segunda fase e reforçar a confiança na plataforma.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WT — Mitigação (Fraquezas × Ameaças)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combater o problema de arranque (fraca massa crítica inicial), a UniCo deve lançar campanhas de sensibilização no campus antes da abertura pública — garantindo conteúdo suficiente para atrair os primeiros utilizadores. A conformidade com o RGPD deve ser endereçada desde a fase de desenvolvimento, com uma política de privacidade clara e minimização de dados recolhidos.</w:t>
      </w:r>
    </w:p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A9B"/>
          <w:sz w:val="32"/>
          <w:szCs w:val="32"/>
        </w:rPr>
        <w:t xml:space="preserve">5. Conclusão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UniCo representa uma resposta concreta e tecnicamente viável ao desafio do ODS 11, promovendo a economia circular no contexto universitário. A análise SWOT revela um projeto com forças sólidas e oportunidades de crescimento significativas, com fraquezas e ameaças perfeitamente endereçáveis nas fases seguintes de desenvolvimento.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Modelo de Negócio assente numa comunidade de confiança, com custos reduzidos na fase inicial e um caminho claro para a sustentabilidade financeira futura, posiciona a UniCo como um projeto com potencial de impacto real, tanto ambiental como social, no ecossistema universitário.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E5E5E"/>
        <w:sz w:val="18"/>
        <w:szCs w:val="18"/>
      </w:rPr>
      <w:t xml:space="preserve">Página </w:t>
    </w:r>
    <w:r>
      <w:rPr>
        <w:rFonts w:ascii="Arial" w:cs="Arial" w:eastAsia="Arial" w:hAnsi="Arial"/>
        <w:color w:val="5E5E5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E5E5E"/>
        <w:sz w:val="18"/>
        <w:szCs w:val="18"/>
      </w:rPr>
      <w:t xml:space="preserve"> de </w:t>
    </w:r>
    <w:r>
      <w:rPr>
        <w:rFonts w:ascii="Arial" w:cs="Arial" w:eastAsia="Arial" w:hAnsi="Arial"/>
        <w:color w:val="5E5E5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5E5E5E"/>
        <w:sz w:val="18"/>
        <w:szCs w:val="18"/>
      </w:rPr>
      <w:t xml:space="preserve">UniCo  |  Comportamento Organizacional  |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A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2026-06-15T09:37:48.086Z</dcterms:created>
  <dcterms:modified xsi:type="dcterms:W3CDTF">2026-06-15T09:37:48.086Z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