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de Design</w:t>
      </w:r>
    </w:p>
    <w:p>
      <w:pPr>
        <w:spacing w:after="40"/>
      </w:pPr>
      <w:r>
        <w:rPr>
          <w:b/>
          <w:bCs/>
          <w:sz w:val="26"/>
          <w:szCs w:val="26"/>
        </w:rPr>
        <w:t xml:space="preserve">UniCo – Logótipo e Interface da Aplicação</w:t>
      </w:r>
    </w:p>
    <w:p>
      <w:pPr>
        <w:spacing w:after="240"/>
      </w:pPr>
      <w:r>
        <w:rPr>
          <w:color w:val="666666"/>
        </w:rPr>
        <w:t xml:space="preserve">Projeto Interdisciplinar  •  Vítor e Nuno  •  Junho de 2026</w:t>
      </w:r>
    </w:p>
    <w:p>
      <w:pPr>
        <w:pStyle w:val="Heading1"/>
      </w:pPr>
      <w:r>
        <w:t xml:space="preserve">1. Conceito da marca</w:t>
      </w:r>
    </w:p>
    <w:p>
      <w:pPr>
        <w:spacing w:after="120" w:line="276"/>
        <w:jc w:val="both"/>
      </w:pPr>
      <w:r>
        <w:t xml:space="preserve">O UniCo é uma plataforma de partilha e troca de artigos para a comunidade académica. A identidade visual foi pensada para transmitir proximidade, confiança e ligação ao meio universitário, mantendo ao mesmo tempo um aspeto moderno e simples, adequado a uma aplicação móvel.</w:t>
      </w:r>
    </w:p>
    <w:p>
      <w:pPr>
        <w:pStyle w:val="Heading1"/>
      </w:pPr>
      <w:r>
        <w:t xml:space="preserve">2. Logótipo</w:t>
      </w:r>
    </w:p>
    <w:p>
      <w:pPr>
        <w:spacing w:after="60" w:before="60"/>
        <w:jc w:val="center"/>
      </w:pPr>
      <w:r>
        <w:drawing>
          <wp:inline distT="0" distB="0" distL="0" distR="0">
            <wp:extent cx="3048000" cy="1581150"/>
            <wp:effectExtent t="0" r="0" b="0" l="0"/>
            <wp:docPr id="1" name="logo" descr="Peixe com capelo" title="Logo U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t xml:space="preserve">O logótipo combina dois elementos: um peixe estilizado e um capelo (chapéu de finalista) sobre a cabeça. O capelo remete diretamente para o contexto académico, enquanto o peixe dá personalidade à marca e reforça a ideia de movimento, comunidade e circulação dos artigos entre utilizadores. O traço é limpo, com formas geométricas e contínuas, o que garante boa leitura mesmo em tamanhos reduzidos.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Construção: </w:t>
      </w:r>
      <w:r>
        <w:t xml:space="preserve">desenhado em formato vetorial (SVG), o que permite escalar sem perda de qualidade.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Versão principal: </w:t>
      </w:r>
      <w:r>
        <w:t xml:space="preserve">logótipo a branco sobre fundo azul-escuro, a aplicação mais usada na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Ícone da app: </w:t>
      </w:r>
      <w:r>
        <w:t xml:space="preserve">o logótipo serve também de ícone da PWA (manifest), nos tamanhos 192px e 512px.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Variações de apoio: </w:t>
      </w:r>
      <w:r>
        <w:t xml:space="preserve">conjunto de ícones vetoriais coerentes com o mesmo estilo.</w:t>
      </w:r>
    </w:p>
    <w:p>
      <w:pPr>
        <w:pStyle w:val="Heading1"/>
      </w:pPr>
      <w:r>
        <w:t xml:space="preserve">3. Paleta de cores</w:t>
      </w:r>
    </w:p>
    <w:p>
      <w:pPr>
        <w:spacing w:after="120" w:line="276"/>
        <w:jc w:val="both"/>
      </w:pPr>
      <w:r>
        <w:t xml:space="preserve">A paleta assenta no azul-escuro como cor dominante, complementado por tons de verde para as ações e por cinzentos e liláses suaves para fundos e separadores.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4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F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Utilização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A9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Azul-escuro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#2C2A9B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 principal — fundo, cabeçalhos e identidade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CC6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#66CC66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Ações e destaques (botões, confirmações)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49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Verde-claro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#DFF490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Realces e elementos secundários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9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Lilás-claro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#EAE9F5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Fundos suaves e separadores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102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Quase-preto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#11102B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Texto e contraste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#FFFFFF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Texto sobre fundo escuro e cartões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Tipografia</w:t>
      </w:r>
    </w:p>
    <w:p>
      <w:pPr>
        <w:spacing w:after="120" w:line="276"/>
        <w:jc w:val="both"/>
      </w:pPr>
      <w:r>
        <w:t xml:space="preserve">A aplicação utiliza a família tipográfica Montserrat, uma fonte sans-serif geométrica, moderna e de leitura clara em ecrã. Os pesos disponíveis (do Thin ao Black) permitem criar hierarquia entre títulos, subtítulos e texto corrente, mantendo a consistência em todas as páginas.</w:t>
      </w:r>
    </w:p>
    <w:p>
      <w:pPr>
        <w:pStyle w:val="Heading1"/>
      </w:pPr>
      <w:r>
        <w:t xml:space="preserve">5. Interface da aplicação</w:t>
      </w:r>
    </w:p>
    <w:p>
      <w:pPr>
        <w:spacing w:after="120" w:line="276"/>
        <w:jc w:val="both"/>
      </w:pPr>
      <w:r>
        <w:t xml:space="preserve">O desenho das páginas seguiu uma abordagem mobile-first, dada a natureza de PWA instalável no telemóvel. Procurou-se uma navegação simples e previsível, com componentes reutilizados entre ecrãs para reforçar a coerência visual.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Layout: </w:t>
      </w:r>
      <w:r>
        <w:t xml:space="preserve">estrutura assente no framework CSS Bulma, complementada com folhas de estilo próprias.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Cartões: </w:t>
      </w:r>
      <w:r>
        <w:t xml:space="preserve">artigos apresentados em cartões com imagem, título e informação essencial.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Cantos e sombras: </w:t>
      </w:r>
      <w:r>
        <w:t xml:space="preserve">cantos arredondados e sombras suaves para um aspeto leve e atual.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Estados e alertas: </w:t>
      </w:r>
      <w:r>
        <w:t xml:space="preserve">mensagens de sucesso e de erro com cores e ícones dedicados.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Navegação: </w:t>
      </w:r>
      <w:r>
        <w:t xml:space="preserve">barra de navegação consistente entre dashboard, favoritos, mensagens e perfil.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Acessibilidade visual: </w:t>
      </w:r>
      <w:r>
        <w:t xml:space="preserve">contraste forte entre o branco e o azul-escuro para boa legibilidade.</w:t>
      </w:r>
    </w:p>
    <w:p>
      <w:pPr>
        <w:pStyle w:val="Heading1"/>
      </w:pPr>
      <w:r>
        <w:t xml:space="preserve">6. Divisão do trabalho</w:t>
      </w:r>
    </w:p>
    <w:p>
      <w:pPr>
        <w:spacing w:after="120" w:line="276"/>
        <w:jc w:val="both"/>
      </w:pPr>
      <w:r>
        <w:t xml:space="preserve">O design foi maioritariamente liderado pelo Nuno e implementado em conjunto com o Vítor. Embora cada um tivesse uma área principal, ambos participaram nas duas vertentes (conceção visual e implementação). Em baixo descreve-se o contributo de cada elemento.</w:t>
      </w:r>
    </w:p>
    <w:p>
      <w:pPr>
        <w:pStyle w:val="Heading2"/>
      </w:pPr>
      <w:r>
        <w:t xml:space="preserve">Nuno — conceção visual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Criação do logótipo do UniCo, desde os primeiros esboços até à versão final em vetor (peixe com capelo académico).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da paleta de cores, incluindo a escolha do azul-escuro como cor principal e dos verdes para as ações.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Seleção da tipografia Montserrat e definição da hierarquia de títulos, subtítulos e texto.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Desenho dos ecrãs (mockups) e da organização visual do dashboard, página de artigo, favoritos, mensagens e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Criação e ajuste dos ícones de apoio (definições, navegação) para manter coerência com o logótipo.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do estilo dos cartões de artigo, cantos arredondados, sombras e espaçamentos.</w:t>
      </w:r>
    </w:p>
    <w:p>
      <w:pPr>
        <w:pStyle w:val="Heading2"/>
      </w:pPr>
      <w:r>
        <w:t xml:space="preserve">Vítor — implementação do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Transposição dos mockups para CSS, garantindo que as páginas correspondiam ao desenho proposto.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Definição das variáveis de cor no CSS (:root) e aplicação consistente da paleta em toda 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da fonte Montserrat e dos ícones SVG nas páginas.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Implementação do layout responsivo (mobile-first) com o framework Bulma e ajustes próprios.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Configuração do logótipo como ícone da PWA no manifest (tamanhos 192px e 512px).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Afinação de pormenores visuais (botões, alertas de sucesso e erro e navegação entre páginas).</w:t>
      </w:r>
    </w:p>
    <w:p>
      <w:pPr>
        <w:pStyle w:val="Heading2"/>
      </w:pPr>
      <w:r>
        <w:t xml:space="preserve">Trabalho conjunto</w:t>
      </w:r>
    </w:p>
    <w:p>
      <w:pPr>
        <w:spacing w:after="120" w:line="276"/>
        <w:jc w:val="both"/>
      </w:pPr>
      <w:r>
        <w:t xml:space="preserve">As decisões de design foram discutidas e validadas em conjunto. O Nuno deu também apoio em partes da implementação visual e o Vítor contribuiu com sugestões sobre cores e disposição dos elementos, recorrendo ao Git e GitHub para coordenar as alterações.</w:t>
      </w:r>
    </w:p>
    <w:p>
      <w:pPr>
        <w:pStyle w:val="Heading1"/>
      </w:pPr>
      <w:r>
        <w:t xml:space="preserve">7. Conclusão</w:t>
      </w:r>
    </w:p>
    <w:p>
      <w:pPr>
        <w:spacing w:after="120" w:line="276"/>
        <w:jc w:val="both"/>
      </w:pPr>
      <w:r>
        <w:t xml:space="preserve">A identidade do UniCo resulta numa marca reconhecível e adequada ao público académico, suportada por uma paleta coerente, tipografia legível e uma interface simples e consistente. O conjunto dá à aplicação um aspeto cuidado e profissional, alinhado com os objetivos do projeto.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2C2A9B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C2A9B" w:sz="6" w:space="4"/>
      </w:pBdr>
      <w:spacing w:after="140" w:before="280"/>
      <w:outlineLvl w:val="0"/>
    </w:pPr>
    <w:rPr>
      <w:rFonts w:ascii="Arial" w:cs="Arial" w:eastAsia="Arial" w:hAnsi="Arial"/>
      <w:b/>
      <w:bCs/>
      <w:color w:val="2C2A9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75dcefa84b8c7fc1fcec24294ffd4fe6892d9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2026-06-21T15:16:43.425Z</dcterms:created>
  <dcterms:modified xsi:type="dcterms:W3CDTF">2026-06-21T15:16:43.425Z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