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pPr>
      <w:r w:rsidDel="00000000" w:rsidR="00000000" w:rsidRPr="00000000">
        <w:rPr>
          <w:b w:val="1"/>
          <w:bCs w:val="1"/>
          <w:smallCaps w:val="1"/>
          <w:color w:val="888888"/>
          <w:sz w:val="20"/>
          <w:szCs w:val="20"/>
          <w:rtl w:val="0"/>
        </w:rPr>
        <w:t xml:space="preserve">pa</w:t>
      </w:r>
      <w:r w:rsidDel="00000000" w:rsidR="00000000" w:rsidRPr="00000000">
        <w:rPr>
          <w:rFonts w:ascii="Arial" w:cs="Arial" w:eastAsia="Arial" w:hAnsi="Arial"/>
          <w:b w:val="1"/>
          <w:bCs w:val="1"/>
          <w:smallCaps w:val="1"/>
          <w:color w:val="888888"/>
          <w:sz w:val="20"/>
          <w:szCs w:val="20"/>
          <w:rtl w:val="0"/>
        </w:rPr>
        <w:t xml:space="preserve">CENTRO UNIVERSITÁRIO IESB</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555555"/>
          <w:sz w:val="22"/>
          <w:szCs w:val="22"/>
          <w:rtl w:val="0"/>
        </w:rPr>
        <w:t xml:space="preserve">Curso de Ciência de Dados e Inteligência Artificial</w:t>
      </w:r>
      <w:r w:rsidDel="00000000" w:rsidR="00000000" w:rsidRPr="00000000">
        <w:rPr>
          <w:rtl w:val="0"/>
        </w:rPr>
      </w:r>
    </w:p>
    <w:p w:rsidR="00000000" w:rsidDel="00000000" w:rsidP="00000000" w:rsidRDefault="00000000" w:rsidRPr="00000000" w14:paraId="00000003">
      <w:pPr>
        <w:spacing w:after="960" w:before="0" w:lineRule="auto"/>
        <w:jc w:val="center"/>
        <w:rPr/>
      </w:pPr>
      <w:r w:rsidDel="00000000" w:rsidR="00000000" w:rsidRPr="00000000">
        <w:rPr>
          <w:rFonts w:ascii="Arial" w:cs="Arial" w:eastAsia="Arial" w:hAnsi="Arial"/>
          <w:color w:val="555555"/>
          <w:sz w:val="22"/>
          <w:szCs w:val="22"/>
          <w:rtl w:val="0"/>
        </w:rPr>
        <w:t xml:space="preserve">Análise Exploratória de Dados e Visualização</w:t>
      </w:r>
      <w:r w:rsidDel="00000000" w:rsidR="00000000" w:rsidRPr="00000000">
        <w:rPr>
          <w:rtl w:val="0"/>
        </w:rPr>
      </w:r>
    </w:p>
    <w:p w:rsidR="00000000" w:rsidDel="00000000" w:rsidP="00000000" w:rsidRDefault="00000000" w:rsidRPr="00000000" w14:paraId="00000004">
      <w:pPr>
        <w:pBdr>
          <w:top w:color="2e75b6" w:space="4" w:sz="6" w:val="single"/>
          <w:bottom w:color="2e75b6" w:space="4" w:sz="6" w:val="single"/>
        </w:pBdr>
        <w:spacing w:after="240" w:before="0" w:lineRule="auto"/>
        <w:jc w:val="center"/>
        <w:rPr/>
      </w:pPr>
      <w:r w:rsidDel="00000000" w:rsidR="00000000" w:rsidRPr="00000000">
        <w:rPr>
          <w:rFonts w:ascii="Arial" w:cs="Arial" w:eastAsia="Arial" w:hAnsi="Arial"/>
          <w:b w:val="1"/>
          <w:bCs w:val="1"/>
          <w:color w:val="1f3864"/>
          <w:sz w:val="32"/>
          <w:szCs w:val="32"/>
          <w:rtl w:val="0"/>
        </w:rPr>
        <w:t xml:space="preserve">Trabalho de Avaliação da Disciplina (A2)</w:t>
      </w:r>
      <w:r w:rsidDel="00000000" w:rsidR="00000000" w:rsidRPr="00000000">
        <w:rPr>
          <w:rtl w:val="0"/>
        </w:rPr>
      </w:r>
    </w:p>
    <w:p w:rsidR="00000000" w:rsidDel="00000000" w:rsidP="00000000" w:rsidRDefault="00000000" w:rsidRPr="00000000" w14:paraId="00000005">
      <w:pPr>
        <w:spacing w:after="2400" w:before="240" w:lineRule="auto"/>
        <w:jc w:val="center"/>
        <w:rPr/>
      </w:pPr>
      <w:r w:rsidDel="00000000" w:rsidR="00000000" w:rsidRPr="00000000">
        <w:rPr>
          <w:rFonts w:ascii="Arial" w:cs="Arial" w:eastAsia="Arial" w:hAnsi="Arial"/>
          <w:i w:val="1"/>
          <w:iCs w:val="1"/>
          <w:color w:val="2e75b6"/>
          <w:sz w:val="28"/>
          <w:szCs w:val="28"/>
          <w:rtl w:val="0"/>
        </w:rPr>
        <w:t xml:space="preserve">Análise de Absenteísmo no Trabalho</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color w:val="555555"/>
          <w:sz w:val="22"/>
          <w:szCs w:val="22"/>
          <w:rtl w:val="0"/>
        </w:rPr>
        <w:t xml:space="preserve">Brasília, Abril de 2026</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2e75b6" w:space="6"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1. Introdução</w:t>
      </w:r>
      <w:r w:rsidDel="00000000" w:rsidR="00000000" w:rsidRPr="00000000">
        <w:rPr>
          <w:rtl w:val="0"/>
        </w:rPr>
      </w:r>
    </w:p>
    <w:p w:rsidR="00000000" w:rsidDel="00000000" w:rsidP="00000000" w:rsidRDefault="00000000" w:rsidRPr="00000000" w14:paraId="00000009">
      <w:pPr>
        <w:spacing w:after="120" w:before="80" w:line="276" w:lineRule="auto"/>
        <w:jc w:val="both"/>
        <w:rPr/>
      </w:pPr>
      <w:r w:rsidDel="00000000" w:rsidR="00000000" w:rsidRPr="00000000">
        <w:rPr>
          <w:rFonts w:ascii="Arial" w:cs="Arial" w:eastAsia="Arial" w:hAnsi="Arial"/>
          <w:color w:val="222222"/>
          <w:sz w:val="22"/>
          <w:szCs w:val="22"/>
          <w:rtl w:val="0"/>
        </w:rPr>
        <w:t xml:space="preserve">O absenteísmo — a ausência não planejada de um colaborador ao trabalho — representa um dos principais desafios de gestão de pessoas nas organizações. Além dos custos diretos com cobertura de jornada e pagamento de horas extras, as ausências recorrentes exercem pressão sobre a produtividade coletiva, a qualidade dos processos e o clima organizacional. Compreender os fatores que determinam essas ausências é, portanto, uma questão estratégica para qualquer organização que deseje operar com eficiência.</w:t>
      </w:r>
      <w:r w:rsidDel="00000000" w:rsidR="00000000" w:rsidRPr="00000000">
        <w:rPr>
          <w:rtl w:val="0"/>
        </w:rPr>
      </w:r>
    </w:p>
    <w:p w:rsidR="00000000" w:rsidDel="00000000" w:rsidP="00000000" w:rsidRDefault="00000000" w:rsidRPr="00000000" w14:paraId="0000000A">
      <w:pPr>
        <w:spacing w:after="120" w:before="80" w:line="276" w:lineRule="auto"/>
        <w:jc w:val="both"/>
        <w:rPr/>
      </w:pPr>
      <w:r w:rsidDel="00000000" w:rsidR="00000000" w:rsidRPr="00000000">
        <w:rPr>
          <w:rFonts w:ascii="Arial" w:cs="Arial" w:eastAsia="Arial" w:hAnsi="Arial"/>
          <w:color w:val="222222"/>
          <w:sz w:val="22"/>
          <w:szCs w:val="22"/>
          <w:rtl w:val="0"/>
        </w:rPr>
        <w:t xml:space="preserve">O presente relatório tem como objetivo investigar os determinantes do absenteísmo a partir de um conjunto de dados reais de uma empresa, demonstrando como inconsistências nos dados brutos podem mascarar padrões críticos de comportamento organizacional. A análise segue o fluxo analítico fundamental: Análise Exploratória de Dados (EDA), Tratamento de Dados (Data Cleaning) e Comunicação Visual (Storytelling).</w:t>
      </w:r>
      <w:r w:rsidDel="00000000" w:rsidR="00000000" w:rsidRPr="00000000">
        <w:rPr>
          <w:rtl w:val="0"/>
        </w:rPr>
      </w:r>
    </w:p>
    <w:p w:rsidR="00000000" w:rsidDel="00000000" w:rsidP="00000000" w:rsidRDefault="00000000" w:rsidRPr="00000000" w14:paraId="0000000B">
      <w:pPr>
        <w:spacing w:after="120" w:before="80" w:line="276" w:lineRule="auto"/>
        <w:jc w:val="both"/>
        <w:rPr/>
      </w:pPr>
      <w:r w:rsidDel="00000000" w:rsidR="00000000" w:rsidRPr="00000000">
        <w:rPr>
          <w:rFonts w:ascii="Arial" w:cs="Arial" w:eastAsia="Arial" w:hAnsi="Arial"/>
          <w:color w:val="222222"/>
          <w:sz w:val="22"/>
          <w:szCs w:val="22"/>
          <w:rtl w:val="0"/>
        </w:rPr>
        <w:t xml:space="preserve">A base de dados utilizada — Absenteeism at Work — contém 740 registros de 36 colaboradores distintos, com 21 atributos que abrangem desde características demográficas e comportamentais até informações sobre o motivo e a duração das ausências. A riqueza e a heterogeneidade dessa base a tornam um caso ideal para a prática de limpeza profunda e análise exploratória.</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tl w:val="0"/>
        </w:rPr>
        <w:t xml:space="preserve"> </w:t>
      </w:r>
    </w:p>
    <w:p w:rsidR="00000000" w:rsidDel="00000000" w:rsidP="00000000" w:rsidRDefault="00000000" w:rsidRPr="00000000" w14:paraId="0000000D">
      <w:pPr>
        <w:pStyle w:val="Heading1"/>
        <w:pBdr>
          <w:bottom w:color="2e75b6" w:space="6"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2. Dicionário de Dados e Tipagem das Variáveis</w:t>
      </w:r>
      <w:r w:rsidDel="00000000" w:rsidR="00000000" w:rsidRPr="00000000">
        <w:rPr>
          <w:rtl w:val="0"/>
        </w:rPr>
      </w:r>
    </w:p>
    <w:p w:rsidR="00000000" w:rsidDel="00000000" w:rsidP="00000000" w:rsidRDefault="00000000" w:rsidRPr="00000000" w14:paraId="0000000E">
      <w:pPr>
        <w:spacing w:after="120" w:before="80" w:line="276" w:lineRule="auto"/>
        <w:jc w:val="both"/>
        <w:rPr/>
      </w:pPr>
      <w:r w:rsidDel="00000000" w:rsidR="00000000" w:rsidRPr="00000000">
        <w:rPr>
          <w:rFonts w:ascii="Arial" w:cs="Arial" w:eastAsia="Arial" w:hAnsi="Arial"/>
          <w:color w:val="222222"/>
          <w:sz w:val="22"/>
          <w:szCs w:val="22"/>
          <w:rtl w:val="0"/>
        </w:rPr>
        <w:t xml:space="preserve">O primeiro passo de qualquer análise rigorosa é compreender o significado semântico de cada variável e identificar inconsistências entre o tipo armazenado no arquivo e o tipo que a variável representa conceitualmente. A seguir, apresenta-se o dicionário completo das 21 colunas da base.</w:t>
      </w: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tl w:val="0"/>
        </w:rPr>
        <w:t xml:space="preserve"> </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500"/>
        <w:gridCol w:w="3526"/>
        <w:tblGridChange w:id="0">
          <w:tblGrid>
            <w:gridCol w:w="2600"/>
            <w:gridCol w:w="1400"/>
            <w:gridCol w:w="1500"/>
            <w:gridCol w:w="3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Variável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Tipo Armazenado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Tipo Recomendado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color w:val="333333"/>
                <w:sz w:val="20"/>
                <w:szCs w:val="20"/>
                <w:rtl w:val="0"/>
              </w:rPr>
              <w:t xml:space="preserve">Categórico (nominal)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color w:val="333333"/>
                <w:sz w:val="20"/>
                <w:szCs w:val="20"/>
                <w:rtl w:val="0"/>
              </w:rPr>
              <w:t xml:space="preserve">Identificador único do colaborador (36 indivíduos)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color w:val="333333"/>
                <w:sz w:val="20"/>
                <w:szCs w:val="20"/>
                <w:rtl w:val="0"/>
              </w:rPr>
              <w:t xml:space="preserve">Reason_for_absence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color w:val="333333"/>
                <w:sz w:val="20"/>
                <w:szCs w:val="20"/>
                <w:rtl w:val="0"/>
              </w:rPr>
              <w:t xml:space="preserve">Categórico (nominal)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color w:val="333333"/>
                <w:sz w:val="20"/>
                <w:szCs w:val="20"/>
                <w:rtl w:val="0"/>
              </w:rPr>
              <w:t xml:space="preserve">Código do motivo da ausência (0–28, segundo CID-10 e categorias próprias)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color w:val="333333"/>
                <w:sz w:val="20"/>
                <w:szCs w:val="20"/>
                <w:rtl w:val="0"/>
              </w:rPr>
              <w:t xml:space="preserve">Month_of_absence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color w:val="333333"/>
                <w:sz w:val="20"/>
                <w:szCs w:val="20"/>
                <w:rtl w:val="0"/>
              </w:rPr>
              <w:t xml:space="preserve">Categórico (ordinal)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color w:val="333333"/>
                <w:sz w:val="20"/>
                <w:szCs w:val="20"/>
                <w:rtl w:val="0"/>
              </w:rPr>
              <w:t xml:space="preserve">Mês do registro de ausência (0–12; onde 0 indica ausência sem mês informado)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color w:val="333333"/>
                <w:sz w:val="20"/>
                <w:szCs w:val="20"/>
                <w:rtl w:val="0"/>
              </w:rPr>
              <w:t xml:space="preserve">Day_of_the_week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color w:val="333333"/>
                <w:sz w:val="20"/>
                <w:szCs w:val="20"/>
                <w:rtl w:val="0"/>
              </w:rPr>
              <w:t xml:space="preserve">Categórico (nominal)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color w:val="333333"/>
                <w:sz w:val="20"/>
                <w:szCs w:val="20"/>
                <w:rtl w:val="0"/>
              </w:rPr>
              <w:t xml:space="preserve">Dia da semana (2=seg a 6=sex)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color w:val="333333"/>
                <w:sz w:val="20"/>
                <w:szCs w:val="20"/>
                <w:rtl w:val="0"/>
              </w:rPr>
              <w:t xml:space="preserve">Seasons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color w:val="333333"/>
                <w:sz w:val="20"/>
                <w:szCs w:val="20"/>
                <w:rtl w:val="0"/>
              </w:rPr>
              <w:t xml:space="preserve">Categórico (nominal)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color w:val="333333"/>
                <w:sz w:val="20"/>
                <w:szCs w:val="20"/>
                <w:rtl w:val="0"/>
              </w:rPr>
              <w:t xml:space="preserve">Estação do ano (1=verão, 2=outono, 3=inverno, 4=primavera)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color w:val="333333"/>
                <w:sz w:val="20"/>
                <w:szCs w:val="20"/>
                <w:rtl w:val="0"/>
              </w:rPr>
              <w:t xml:space="preserve">Transportation_expense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color w:val="333333"/>
                <w:sz w:val="20"/>
                <w:szCs w:val="20"/>
                <w:rtl w:val="0"/>
              </w:rPr>
              <w:t xml:space="preserve">Numérico (contínuo)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color w:val="333333"/>
                <w:sz w:val="20"/>
                <w:szCs w:val="20"/>
                <w:rtl w:val="0"/>
              </w:rPr>
              <w:t xml:space="preserve">Custo mensal de transporte do colaborador (R$)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color w:val="333333"/>
                <w:sz w:val="20"/>
                <w:szCs w:val="20"/>
                <w:rtl w:val="0"/>
              </w:rPr>
              <w:t xml:space="preserve">Distance_from_Residence_to_Work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color w:val="333333"/>
                <w:sz w:val="20"/>
                <w:szCs w:val="20"/>
                <w:rtl w:val="0"/>
              </w:rPr>
              <w:t xml:space="preserve">Numérico (contínuo)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color w:val="333333"/>
                <w:sz w:val="20"/>
                <w:szCs w:val="20"/>
                <w:rtl w:val="0"/>
              </w:rPr>
              <w:t xml:space="preserve">Distância entre residência e trabalho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color w:val="333333"/>
                <w:sz w:val="20"/>
                <w:szCs w:val="20"/>
                <w:rtl w:val="0"/>
              </w:rPr>
              <w:t xml:space="preserve">Service_time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color w:val="333333"/>
                <w:sz w:val="20"/>
                <w:szCs w:val="20"/>
                <w:rtl w:val="0"/>
              </w:rPr>
              <w:t xml:space="preserve">Numérico (discreto)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color w:val="333333"/>
                <w:sz w:val="20"/>
                <w:szCs w:val="20"/>
                <w:rtl w:val="0"/>
              </w:rPr>
              <w:t xml:space="preserve">Tempo de serviço na empresa (anos)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color w:val="333333"/>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color w:val="333333"/>
                <w:sz w:val="20"/>
                <w:szCs w:val="20"/>
                <w:rtl w:val="0"/>
              </w:rPr>
              <w:t xml:space="preserve">Numérico (discreto)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color w:val="333333"/>
                <w:sz w:val="20"/>
                <w:szCs w:val="20"/>
                <w:rtl w:val="0"/>
              </w:rPr>
              <w:t xml:space="preserve">Idade do colaborador (anos)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color w:val="333333"/>
                <w:sz w:val="20"/>
                <w:szCs w:val="20"/>
                <w:rtl w:val="0"/>
              </w:rPr>
              <w:t xml:space="preserve">Work_load_Average_day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color w:val="333333"/>
                <w:sz w:val="20"/>
                <w:szCs w:val="20"/>
                <w:rtl w:val="0"/>
              </w:rPr>
              <w:t xml:space="preserve">Numérico (contínuo)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color w:val="333333"/>
                <w:sz w:val="20"/>
                <w:szCs w:val="20"/>
                <w:rtl w:val="0"/>
              </w:rPr>
              <w:t xml:space="preserve">Carga de trabalho média diária (produção/unidades processadas)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color w:val="333333"/>
                <w:sz w:val="20"/>
                <w:szCs w:val="20"/>
                <w:rtl w:val="0"/>
              </w:rPr>
              <w:t xml:space="preserve">Hit_target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color w:val="333333"/>
                <w:sz w:val="20"/>
                <w:szCs w:val="20"/>
                <w:rtl w:val="0"/>
              </w:rPr>
              <w:t xml:space="preserve">Numérico (discreto)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color w:val="333333"/>
                <w:sz w:val="20"/>
                <w:szCs w:val="20"/>
                <w:rtl w:val="0"/>
              </w:rPr>
              <w:t xml:space="preserve">Percentual de atingimento de meta (81–100%)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color w:val="333333"/>
                <w:sz w:val="20"/>
                <w:szCs w:val="20"/>
                <w:rtl w:val="0"/>
              </w:rPr>
              <w:t xml:space="preserve">Disciplinary_failure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color w:val="333333"/>
                <w:sz w:val="20"/>
                <w:szCs w:val="20"/>
                <w:rtl w:val="0"/>
              </w:rPr>
              <w:t xml:space="preserve">Categórico (binário)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color w:val="333333"/>
                <w:sz w:val="20"/>
                <w:szCs w:val="20"/>
                <w:rtl w:val="0"/>
              </w:rPr>
              <w:t xml:space="preserve">Indica falha disciplinar: 0=Não, 1=Sim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color w:val="333333"/>
                <w:sz w:val="20"/>
                <w:szCs w:val="20"/>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color w:val="333333"/>
                <w:sz w:val="20"/>
                <w:szCs w:val="20"/>
                <w:rtl w:val="0"/>
              </w:rPr>
              <w:t xml:space="preserve">Categórico (ordinal)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color w:val="333333"/>
                <w:sz w:val="20"/>
                <w:szCs w:val="20"/>
                <w:rtl w:val="0"/>
              </w:rPr>
              <w:t xml:space="preserve">Nível de escolaridade: 1=Fund., 2=Médio, 3=Graduação, 4=Pós-graduação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color w:val="333333"/>
                <w:sz w:val="20"/>
                <w:szCs w:val="20"/>
                <w:rtl w:val="0"/>
              </w:rPr>
              <w:t xml:space="preserve">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color w:val="333333"/>
                <w:sz w:val="20"/>
                <w:szCs w:val="20"/>
                <w:rtl w:val="0"/>
              </w:rPr>
              <w:t xml:space="preserve">Numérico (discreto)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color w:val="333333"/>
                <w:sz w:val="20"/>
                <w:szCs w:val="20"/>
                <w:rtl w:val="0"/>
              </w:rPr>
              <w:t xml:space="preserve">Número de filhos (0 a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color w:val="333333"/>
                <w:sz w:val="20"/>
                <w:szCs w:val="20"/>
                <w:rtl w:val="0"/>
              </w:rPr>
              <w:t xml:space="preserve">Social_drinker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color w:val="333333"/>
                <w:sz w:val="20"/>
                <w:szCs w:val="20"/>
                <w:rtl w:val="0"/>
              </w:rPr>
              <w:t xml:space="preserve">Categórico (binário)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color w:val="333333"/>
                <w:sz w:val="20"/>
                <w:szCs w:val="20"/>
                <w:rtl w:val="0"/>
              </w:rPr>
              <w:t xml:space="preserve">Consumo social de álcool: 0=Não, 1=Sim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color w:val="333333"/>
                <w:sz w:val="20"/>
                <w:szCs w:val="20"/>
                <w:rtl w:val="0"/>
              </w:rPr>
              <w:t xml:space="preserve">Social_smoker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color w:val="333333"/>
                <w:sz w:val="20"/>
                <w:szCs w:val="20"/>
                <w:rtl w:val="0"/>
              </w:rPr>
              <w:t xml:space="preserve">Categórico (binário)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color w:val="333333"/>
                <w:sz w:val="20"/>
                <w:szCs w:val="20"/>
                <w:rtl w:val="0"/>
              </w:rPr>
              <w:t xml:space="preserve">Fumante social: 0=Não, 1=Sim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color w:val="333333"/>
                <w:sz w:val="20"/>
                <w:szCs w:val="20"/>
                <w:rtl w:val="0"/>
              </w:rPr>
              <w:t xml:space="preserve">Pet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color w:val="333333"/>
                <w:sz w:val="20"/>
                <w:szCs w:val="20"/>
                <w:rtl w:val="0"/>
              </w:rPr>
              <w:t xml:space="preserve">Numérico (discreto)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color w:val="333333"/>
                <w:sz w:val="20"/>
                <w:szCs w:val="20"/>
                <w:rtl w:val="0"/>
              </w:rPr>
              <w:t xml:space="preserve">Número de animais de estimação (0 a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color w:val="333333"/>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color w:val="333333"/>
                <w:sz w:val="20"/>
                <w:szCs w:val="20"/>
                <w:rtl w:val="0"/>
              </w:rPr>
              <w:t xml:space="preserve">Numérico (contínuo)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color w:val="333333"/>
                <w:sz w:val="20"/>
                <w:szCs w:val="20"/>
                <w:rtl w:val="0"/>
              </w:rPr>
              <w:t xml:space="preserve">Peso corporal do colaborador (kg)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color w:val="333333"/>
                <w:sz w:val="20"/>
                <w:szCs w:val="20"/>
                <w:rtl w:val="0"/>
              </w:rPr>
              <w:t xml:space="preserve">Numérico (discreto)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color w:val="333333"/>
                <w:sz w:val="20"/>
                <w:szCs w:val="20"/>
                <w:rtl w:val="0"/>
              </w:rPr>
              <w:t xml:space="preserve">Altura do colaborador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color w:val="333333"/>
                <w:sz w:val="20"/>
                <w:szCs w:val="20"/>
                <w:rtl w:val="0"/>
              </w:rPr>
              <w:t xml:space="preserve">Body_mass_index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color w:val="333333"/>
                <w:sz w:val="20"/>
                <w:szCs w:val="20"/>
                <w:rtl w:val="0"/>
              </w:rPr>
              <w:t xml:space="preserve">Numérico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color w:val="333333"/>
                <w:sz w:val="20"/>
                <w:szCs w:val="20"/>
                <w:rtl w:val="0"/>
              </w:rPr>
              <w:t xml:space="preserve">Numérico (contínuo)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color w:val="333333"/>
                <w:sz w:val="20"/>
                <w:szCs w:val="20"/>
                <w:rtl w:val="0"/>
              </w:rPr>
              <w:t xml:space="preserve">Índice de Massa Corporal (19–38)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color w:val="333333"/>
                <w:sz w:val="20"/>
                <w:szCs w:val="20"/>
                <w:rtl w:val="0"/>
              </w:rPr>
              <w:t xml:space="preserve">Absenteeism_time_in_hours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color w:val="333333"/>
                <w:sz w:val="20"/>
                <w:szCs w:val="20"/>
                <w:rtl w:val="0"/>
              </w:rPr>
              <w:t xml:space="preserve">Numérico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color w:val="333333"/>
                <w:sz w:val="20"/>
                <w:szCs w:val="20"/>
                <w:rtl w:val="0"/>
              </w:rPr>
              <w:t xml:space="preserve">Numérico (discreto)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color w:val="333333"/>
                <w:sz w:val="20"/>
                <w:szCs w:val="20"/>
                <w:rtl w:val="0"/>
              </w:rPr>
              <w:t xml:space="preserve">Variável-alvo: horas totais de ausência no período (0–120h)</w:t>
            </w:r>
            <w:r w:rsidDel="00000000" w:rsidR="00000000" w:rsidRPr="00000000">
              <w:rPr>
                <w:rtl w:val="0"/>
              </w:rPr>
            </w:r>
          </w:p>
        </w:tc>
      </w:tr>
    </w:tbl>
    <w:p w:rsidR="00000000" w:rsidDel="00000000" w:rsidP="00000000" w:rsidRDefault="00000000" w:rsidRPr="00000000" w14:paraId="00000068">
      <w:pPr>
        <w:spacing w:after="80" w:before="0" w:lineRule="auto"/>
        <w:rPr/>
      </w:pPr>
      <w:r w:rsidDel="00000000" w:rsidR="00000000" w:rsidRPr="00000000">
        <w:rPr>
          <w:rtl w:val="0"/>
        </w:rPr>
        <w:t xml:space="preserve"> </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f3864"/>
                <w:sz w:val="22"/>
                <w:szCs w:val="22"/>
                <w:rtl w:val="0"/>
              </w:rPr>
              <w:t xml:space="preserve">Observação Crítica sobre Tipagem</w:t>
            </w:r>
            <w:r w:rsidDel="00000000" w:rsidR="00000000" w:rsidRPr="00000000">
              <w:rPr>
                <w:rtl w:val="0"/>
              </w:rPr>
            </w:r>
          </w:p>
          <w:p w:rsidR="00000000" w:rsidDel="00000000" w:rsidP="00000000" w:rsidRDefault="00000000" w:rsidRPr="00000000" w14:paraId="0000006A">
            <w:pPr>
              <w:spacing w:line="276" w:lineRule="auto"/>
              <w:jc w:val="both"/>
              <w:rPr/>
            </w:pPr>
            <w:r w:rsidDel="00000000" w:rsidR="00000000" w:rsidRPr="00000000">
              <w:rPr>
                <w:rFonts w:ascii="Arial" w:cs="Arial" w:eastAsia="Arial" w:hAnsi="Arial"/>
                <w:color w:val="333333"/>
                <w:sz w:val="20"/>
                <w:szCs w:val="20"/>
                <w:rtl w:val="0"/>
              </w:rPr>
              <w:t xml:space="preserve">Variáveis como ID, Reason_for_absence, Seasons, Day_of_the_week, Disciplinary_failure, Social_drinker, Social_smoker e Education estão armazenadas como valores numéricos (float/int), mas são, na essência, categorias. Tratá-las como números contínuos em análises estatísticas ou modelos preditivos levaria a conclusões equivocadas — por exemplo, calcular a "média" de motivos de ausência seria semanticamente absurdo. A conversão explícita para tipo categórico é uma etapa obrigatória no pré-processamento.</w:t>
            </w:r>
            <w:r w:rsidDel="00000000" w:rsidR="00000000" w:rsidRPr="00000000">
              <w:rPr>
                <w:rtl w:val="0"/>
              </w:rPr>
            </w:r>
          </w:p>
        </w:tc>
      </w:tr>
    </w:tbl>
    <w:p w:rsidR="00000000" w:rsidDel="00000000" w:rsidP="00000000" w:rsidRDefault="00000000" w:rsidRPr="00000000" w14:paraId="0000006B">
      <w:pPr>
        <w:spacing w:after="80" w:before="0" w:lineRule="auto"/>
        <w:rPr/>
      </w:pPr>
      <w:r w:rsidDel="00000000" w:rsidR="00000000" w:rsidRPr="00000000">
        <w:rPr>
          <w:rtl w:val="0"/>
        </w:rPr>
        <w:t xml:space="preserve"> </w:t>
      </w:r>
    </w:p>
    <w:p w:rsidR="00000000" w:rsidDel="00000000" w:rsidP="00000000" w:rsidRDefault="00000000" w:rsidRPr="00000000" w14:paraId="0000006C">
      <w:pPr>
        <w:pStyle w:val="Heading1"/>
        <w:pBdr>
          <w:bottom w:color="2e75b6" w:space="6"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3. Análise Exploratória de Dados (EDA)</w:t>
      </w:r>
      <w:r w:rsidDel="00000000" w:rsidR="00000000" w:rsidRPr="00000000">
        <w:rPr>
          <w:rtl w:val="0"/>
        </w:rPr>
      </w:r>
    </w:p>
    <w:p w:rsidR="00000000" w:rsidDel="00000000" w:rsidP="00000000" w:rsidRDefault="00000000" w:rsidRPr="00000000" w14:paraId="0000006D">
      <w:pPr>
        <w:spacing w:after="120" w:before="80" w:line="276" w:lineRule="auto"/>
        <w:jc w:val="both"/>
        <w:rPr/>
      </w:pPr>
      <w:r w:rsidDel="00000000" w:rsidR="00000000" w:rsidRPr="00000000">
        <w:rPr>
          <w:rFonts w:ascii="Arial" w:cs="Arial" w:eastAsia="Arial" w:hAnsi="Arial"/>
          <w:color w:val="222222"/>
          <w:sz w:val="22"/>
          <w:szCs w:val="22"/>
          <w:rtl w:val="0"/>
        </w:rPr>
        <w:t xml:space="preserve">A Análise Exploratória tem como finalidade revelar o estado real da base antes de qualquer intervenção de limpeza. Esta etapa é essencial para diagnosticar a qualidade dos dados e orientar as decisões de tratamento que virão a seguir.</w:t>
      </w: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3.1 Visão Geral do Conjunto de Dados</w:t>
      </w:r>
      <w:r w:rsidDel="00000000" w:rsidR="00000000" w:rsidRPr="00000000">
        <w:rPr>
          <w:rtl w:val="0"/>
        </w:rPr>
      </w:r>
    </w:p>
    <w:p w:rsidR="00000000" w:rsidDel="00000000" w:rsidP="00000000" w:rsidRDefault="00000000" w:rsidRPr="00000000" w14:paraId="0000006F">
      <w:pPr>
        <w:spacing w:after="120" w:before="80" w:line="276" w:lineRule="auto"/>
        <w:jc w:val="both"/>
        <w:rPr/>
      </w:pPr>
      <w:r w:rsidDel="00000000" w:rsidR="00000000" w:rsidRPr="00000000">
        <w:rPr>
          <w:rFonts w:ascii="Arial" w:cs="Arial" w:eastAsia="Arial" w:hAnsi="Arial"/>
          <w:color w:val="222222"/>
          <w:sz w:val="22"/>
          <w:szCs w:val="22"/>
          <w:rtl w:val="0"/>
        </w:rPr>
        <w:t xml:space="preserve">A base contém 740 registros distribuídos entre 36 colaboradores únicos (identificados pelo campo ID), com 21 atributos cada. A variável-alvo — Absenteeism_time_in_hours — registra o número de horas de ausência por evento, variando de 0 a 120 horas. Não foram identificados campos com valores nulos ou em branco, o que à primeira vista sugere uma base limpa. Contudo, a análise mais aprofundada revela problemas estruturais relevantes, conforme detalhado nas subseções a seguir.</w:t>
      </w: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3.2 Identificação de Registros Duplicados</w:t>
      </w:r>
      <w:r w:rsidDel="00000000" w:rsidR="00000000" w:rsidRPr="00000000">
        <w:rPr>
          <w:rtl w:val="0"/>
        </w:rPr>
      </w:r>
    </w:p>
    <w:p w:rsidR="00000000" w:rsidDel="00000000" w:rsidP="00000000" w:rsidRDefault="00000000" w:rsidRPr="00000000" w14:paraId="00000071">
      <w:pPr>
        <w:spacing w:after="120" w:before="80" w:line="276" w:lineRule="auto"/>
        <w:jc w:val="both"/>
        <w:rPr/>
      </w:pPr>
      <w:r w:rsidDel="00000000" w:rsidR="00000000" w:rsidRPr="00000000">
        <w:rPr>
          <w:rFonts w:ascii="Arial" w:cs="Arial" w:eastAsia="Arial" w:hAnsi="Arial"/>
          <w:color w:val="222222"/>
          <w:sz w:val="22"/>
          <w:szCs w:val="22"/>
          <w:rtl w:val="0"/>
        </w:rPr>
        <w:t xml:space="preserve">A verificação de duplicatas exatas — linhas com valores idênticos em todos os 21 campos — revelou a existência de 34 registros duplicados na base. Isso representa 4,6% do total de registros, uma proporção que não pode ser ignorada.</w:t>
      </w:r>
      <w:r w:rsidDel="00000000" w:rsidR="00000000" w:rsidRPr="00000000">
        <w:rPr>
          <w:rtl w:val="0"/>
        </w:rPr>
      </w:r>
    </w:p>
    <w:p w:rsidR="00000000" w:rsidDel="00000000" w:rsidP="00000000" w:rsidRDefault="00000000" w:rsidRPr="00000000" w14:paraId="00000072">
      <w:pPr>
        <w:spacing w:after="120" w:before="80" w:line="276" w:lineRule="auto"/>
        <w:jc w:val="both"/>
        <w:rPr/>
      </w:pPr>
      <w:r w:rsidDel="00000000" w:rsidR="00000000" w:rsidRPr="00000000">
        <w:rPr>
          <w:rFonts w:ascii="Arial" w:cs="Arial" w:eastAsia="Arial" w:hAnsi="Arial"/>
          <w:color w:val="222222"/>
          <w:sz w:val="22"/>
          <w:szCs w:val="22"/>
          <w:rtl w:val="0"/>
        </w:rPr>
        <w:t xml:space="preserve">Registros duplicados são problemáticos por diferentes razões. Do ponto de vista estatístico, eles inflam artificialmente a frequência de determinados padrões, distorcendo medidas de tendência central como a média e a mediana, e prejudicando análises de correlação. Do ponto de vista de negócio, é altamente improvável que dois colaboradores distintos tenham ausências com exatamente os mesmos atributos em todas as 21 dimensões, incluindo motivo, data e duração. A causa mais provável é uma falha no processo de coleta ou integração dos dados.</w:t>
      </w: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3.3 Valores Impossíveis e Inconsistências Estruturais</w:t>
      </w:r>
      <w:r w:rsidDel="00000000" w:rsidR="00000000" w:rsidRPr="00000000">
        <w:rPr>
          <w:rtl w:val="0"/>
        </w:rPr>
      </w:r>
    </w:p>
    <w:p w:rsidR="00000000" w:rsidDel="00000000" w:rsidP="00000000" w:rsidRDefault="00000000" w:rsidRPr="00000000" w14:paraId="00000074">
      <w:pPr>
        <w:spacing w:after="80" w:before="200" w:lineRule="auto"/>
        <w:rPr/>
      </w:pPr>
      <w:r w:rsidDel="00000000" w:rsidR="00000000" w:rsidRPr="00000000">
        <w:rPr>
          <w:rFonts w:ascii="Arial" w:cs="Arial" w:eastAsia="Arial" w:hAnsi="Arial"/>
          <w:b w:val="1"/>
          <w:bCs w:val="1"/>
          <w:color w:val="404040"/>
          <w:sz w:val="22"/>
          <w:szCs w:val="22"/>
          <w:rtl w:val="0"/>
        </w:rPr>
        <w:t xml:space="preserve">3.3.1 Month_of_absence com valor zero</w:t>
      </w:r>
      <w:r w:rsidDel="00000000" w:rsidR="00000000" w:rsidRPr="00000000">
        <w:rPr>
          <w:rtl w:val="0"/>
        </w:rPr>
      </w:r>
    </w:p>
    <w:p w:rsidR="00000000" w:rsidDel="00000000" w:rsidP="00000000" w:rsidRDefault="00000000" w:rsidRPr="00000000" w14:paraId="00000075">
      <w:pPr>
        <w:spacing w:after="120" w:before="80" w:line="276" w:lineRule="auto"/>
        <w:jc w:val="both"/>
        <w:rPr/>
      </w:pPr>
      <w:r w:rsidDel="00000000" w:rsidR="00000000" w:rsidRPr="00000000">
        <w:rPr>
          <w:rFonts w:ascii="Arial" w:cs="Arial" w:eastAsia="Arial" w:hAnsi="Arial"/>
          <w:color w:val="222222"/>
          <w:sz w:val="22"/>
          <w:szCs w:val="22"/>
          <w:rtl w:val="0"/>
        </w:rPr>
        <w:t xml:space="preserve">Foram identificados 3 registros com o campo Month_of_absence igual a zero. Como os meses do calendário variam de 1 (janeiro) a 12 (dezembro), o valor 0 não possui significado calendário e representa uma inconsistência estrutural. Esses registros podem ter sido gerados por falha no sistema de registro ou por ausências sem data de referência definida.</w:t>
      </w:r>
      <w:r w:rsidDel="00000000" w:rsidR="00000000" w:rsidRPr="00000000">
        <w:rPr>
          <w:rtl w:val="0"/>
        </w:rPr>
      </w:r>
    </w:p>
    <w:p w:rsidR="00000000" w:rsidDel="00000000" w:rsidP="00000000" w:rsidRDefault="00000000" w:rsidRPr="00000000" w14:paraId="00000076">
      <w:pPr>
        <w:spacing w:after="80" w:before="200" w:lineRule="auto"/>
        <w:rPr/>
      </w:pPr>
      <w:r w:rsidDel="00000000" w:rsidR="00000000" w:rsidRPr="00000000">
        <w:rPr>
          <w:rFonts w:ascii="Arial" w:cs="Arial" w:eastAsia="Arial" w:hAnsi="Arial"/>
          <w:b w:val="1"/>
          <w:bCs w:val="1"/>
          <w:color w:val="404040"/>
          <w:sz w:val="22"/>
          <w:szCs w:val="22"/>
          <w:rtl w:val="0"/>
        </w:rPr>
        <w:t xml:space="preserve">3.3.2 Registros com Absenteeism_time_in_hours igual a zero</w:t>
      </w:r>
      <w:r w:rsidDel="00000000" w:rsidR="00000000" w:rsidRPr="00000000">
        <w:rPr>
          <w:rtl w:val="0"/>
        </w:rPr>
      </w:r>
    </w:p>
    <w:p w:rsidR="00000000" w:rsidDel="00000000" w:rsidP="00000000" w:rsidRDefault="00000000" w:rsidRPr="00000000" w14:paraId="00000077">
      <w:pPr>
        <w:spacing w:after="120" w:before="80" w:line="276" w:lineRule="auto"/>
        <w:jc w:val="both"/>
        <w:rPr/>
      </w:pPr>
      <w:r w:rsidDel="00000000" w:rsidR="00000000" w:rsidRPr="00000000">
        <w:rPr>
          <w:rFonts w:ascii="Arial" w:cs="Arial" w:eastAsia="Arial" w:hAnsi="Arial"/>
          <w:color w:val="222222"/>
          <w:sz w:val="22"/>
          <w:szCs w:val="22"/>
          <w:rtl w:val="0"/>
        </w:rPr>
        <w:t xml:space="preserve">Foram encontrados </w:t>
      </w:r>
      <w:r w:rsidDel="00000000" w:rsidR="00000000" w:rsidRPr="00000000">
        <w:rPr>
          <w:rFonts w:ascii="Arial" w:cs="Arial" w:eastAsia="Arial" w:hAnsi="Arial"/>
          <w:b w:val="1"/>
          <w:bCs w:val="1"/>
          <w:color w:val="222222"/>
          <w:sz w:val="22"/>
          <w:szCs w:val="22"/>
          <w:rtl w:val="0"/>
        </w:rPr>
        <w:t xml:space="preserve">44 registros com zero horas de ausência</w:t>
      </w:r>
      <w:r w:rsidDel="00000000" w:rsidR="00000000" w:rsidRPr="00000000">
        <w:rPr>
          <w:rFonts w:ascii="Arial" w:cs="Arial" w:eastAsia="Arial" w:hAnsi="Arial"/>
          <w:color w:val="222222"/>
          <w:sz w:val="22"/>
          <w:szCs w:val="22"/>
          <w:rtl w:val="0"/>
        </w:rPr>
        <w:t xml:space="preserve">. Desses, 43 têm o campo Reason_for_absence codificado como 0.0, indicando ausência de motivo registrado. Essa combinação — ausência sem horas e sem motivo — é semanticamente contraditória: se não houve ausência (0 horas), por que existe um registro? Essas entradas podem representar registros administrativos de presença integral, erros de entrada ou eventos cancelados que não foram removidos da base.</w:t>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tl w:val="0"/>
        </w:rPr>
        <w:t xml:space="preserve"> </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200"/>
        <w:gridCol w:w="2326"/>
        <w:tblGridChange w:id="0">
          <w:tblGrid>
            <w:gridCol w:w="4500"/>
            <w:gridCol w:w="2200"/>
            <w:gridCol w:w="23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Situação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Quantidade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 do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color w:val="333333"/>
                <w:sz w:val="20"/>
                <w:szCs w:val="20"/>
                <w:rtl w:val="0"/>
              </w:rPr>
              <w:t xml:space="preserve">Registros com 0h de ausência + motivo=0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color w:val="333333"/>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color w:val="333333"/>
                <w:sz w:val="20"/>
                <w:szCs w:val="20"/>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color w:val="333333"/>
                <w:sz w:val="20"/>
                <w:szCs w:val="20"/>
                <w:rtl w:val="0"/>
              </w:rPr>
              <w:t xml:space="preserve">Registros com 0h de ausência + motivo=27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color w:val="333333"/>
                <w:sz w:val="20"/>
                <w:szCs w:val="20"/>
                <w:rtl w:val="0"/>
              </w:rPr>
              <w:t xml:space="preserve">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color w:val="333333"/>
                <w:sz w:val="20"/>
                <w:szCs w:val="20"/>
                <w:rtl w:val="0"/>
              </w:rPr>
              <w:t xml:space="preserve">Total de registros com 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color w:val="333333"/>
                <w:sz w:val="20"/>
                <w:szCs w:val="20"/>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color w:val="333333"/>
                <w:sz w:val="20"/>
                <w:szCs w:val="20"/>
                <w:rtl w:val="0"/>
              </w:rPr>
              <w:t xml:space="preserve">5,9%</w:t>
            </w:r>
            <w:r w:rsidDel="00000000" w:rsidR="00000000" w:rsidRPr="00000000">
              <w:rPr>
                <w:rtl w:val="0"/>
              </w:rPr>
            </w:r>
          </w:p>
        </w:tc>
      </w:tr>
    </w:tbl>
    <w:p w:rsidR="00000000" w:rsidDel="00000000" w:rsidP="00000000" w:rsidRDefault="00000000" w:rsidRPr="00000000" w14:paraId="00000085">
      <w:pPr>
        <w:spacing w:after="80" w:before="0" w:lineRule="auto"/>
        <w:rPr/>
      </w:pPr>
      <w:r w:rsidDel="00000000" w:rsidR="00000000" w:rsidRPr="00000000">
        <w:rPr>
          <w:rtl w:val="0"/>
        </w:rPr>
        <w:t xml:space="preserve"> </w:t>
      </w:r>
    </w:p>
    <w:p w:rsidR="00000000" w:rsidDel="00000000" w:rsidP="00000000" w:rsidRDefault="00000000" w:rsidRPr="00000000" w14:paraId="00000086">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3.4 Análise de Outliers — Método IQR</w:t>
      </w:r>
      <w:r w:rsidDel="00000000" w:rsidR="00000000" w:rsidRPr="00000000">
        <w:rPr>
          <w:rtl w:val="0"/>
        </w:rPr>
      </w:r>
    </w:p>
    <w:p w:rsidR="00000000" w:rsidDel="00000000" w:rsidP="00000000" w:rsidRDefault="00000000" w:rsidRPr="00000000" w14:paraId="00000087">
      <w:pPr>
        <w:spacing w:after="120" w:before="80" w:line="276" w:lineRule="auto"/>
        <w:jc w:val="both"/>
        <w:rPr/>
      </w:pPr>
      <w:r w:rsidDel="00000000" w:rsidR="00000000" w:rsidRPr="00000000">
        <w:rPr>
          <w:rFonts w:ascii="Arial" w:cs="Arial" w:eastAsia="Arial" w:hAnsi="Arial"/>
          <w:color w:val="222222"/>
          <w:sz w:val="22"/>
          <w:szCs w:val="22"/>
          <w:rtl w:val="0"/>
        </w:rPr>
        <w:t xml:space="preserve">Para identificar valores atípicos na variável-alvo (Absenteeism_time_in_hours), foi aplicado o método do Intervalo Interquartílico (IQR), amplamente utilizado por sua robustez frente a distribuições assimétricas.</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tl w:val="0"/>
        </w:rPr>
        <w:t xml:space="preserve"> </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Estatística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color w:val="333333"/>
                <w:sz w:val="20"/>
                <w:szCs w:val="20"/>
                <w:rtl w:val="0"/>
              </w:rPr>
              <w:t xml:space="preserve">1º Quartil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color w:val="333333"/>
                <w:sz w:val="20"/>
                <w:szCs w:val="20"/>
                <w:rtl w:val="0"/>
              </w:rPr>
              <w:t xml:space="preserve">2,0 horas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color w:val="333333"/>
                <w:sz w:val="20"/>
                <w:szCs w:val="20"/>
                <w:rtl w:val="0"/>
              </w:rPr>
              <w:t xml:space="preserve">3º Quartil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color w:val="333333"/>
                <w:sz w:val="20"/>
                <w:szCs w:val="20"/>
                <w:rtl w:val="0"/>
              </w:rPr>
              <w:t xml:space="preserve">8,0 horas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sdt>
              <w:sdtPr>
                <w:id w:val="-618645022"/>
                <w:tag w:val="goog_rdk_0"/>
              </w:sdtPr>
              <w:sdtContent>
                <w:r w:rsidDel="00000000" w:rsidR="00000000" w:rsidRPr="00000000">
                  <w:rPr>
                    <w:rFonts w:ascii="Arial Unicode MS" w:cs="Arial Unicode MS" w:eastAsia="Arial Unicode MS" w:hAnsi="Arial Unicode MS"/>
                    <w:color w:val="333333"/>
                    <w:sz w:val="20"/>
                    <w:szCs w:val="20"/>
                    <w:rtl w:val="0"/>
                  </w:rPr>
                  <w:t xml:space="preserve">IQR (Q3 − Q1)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color w:val="333333"/>
                <w:sz w:val="20"/>
                <w:szCs w:val="20"/>
                <w:rtl w:val="0"/>
              </w:rPr>
              <w:t xml:space="preserve">6,0 horas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jc w:val="left"/>
              <w:rPr/>
            </w:pPr>
            <w:sdt>
              <w:sdtPr>
                <w:id w:val="1614657287"/>
                <w:tag w:val="goog_rdk_1"/>
              </w:sdtPr>
              <w:sdtContent>
                <w:r w:rsidDel="00000000" w:rsidR="00000000" w:rsidRPr="00000000">
                  <w:rPr>
                    <w:rFonts w:ascii="Arial Unicode MS" w:cs="Arial Unicode MS" w:eastAsia="Arial Unicode MS" w:hAnsi="Arial Unicode MS"/>
                    <w:color w:val="333333"/>
                    <w:sz w:val="20"/>
                    <w:szCs w:val="20"/>
                    <w:rtl w:val="0"/>
                  </w:rPr>
                  <w:t xml:space="preserve">Limite Inferior (Q1 − 1,5 × IQR)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jc w:val="center"/>
              <w:rPr/>
            </w:pPr>
            <w:sdt>
              <w:sdtPr>
                <w:id w:val="-1476469852"/>
                <w:tag w:val="goog_rdk_2"/>
              </w:sdtPr>
              <w:sdtContent>
                <w:r w:rsidDel="00000000" w:rsidR="00000000" w:rsidRPr="00000000">
                  <w:rPr>
                    <w:rFonts w:ascii="Arial Unicode MS" w:cs="Arial Unicode MS" w:eastAsia="Arial Unicode MS" w:hAnsi="Arial Unicode MS"/>
                    <w:color w:val="333333"/>
                    <w:sz w:val="20"/>
                    <w:szCs w:val="20"/>
                    <w:rtl w:val="0"/>
                  </w:rPr>
                  <w:t xml:space="preserve">−7,0 horas (efetivamente 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color w:val="333333"/>
                <w:sz w:val="20"/>
                <w:szCs w:val="20"/>
                <w:rtl w:val="0"/>
              </w:rPr>
              <w:t xml:space="preserve">Limite Superior (Q3 + 1,5 × 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color w:val="333333"/>
                <w:sz w:val="20"/>
                <w:szCs w:val="20"/>
                <w:rtl w:val="0"/>
              </w:rPr>
              <w:t xml:space="preserve">17,0 horas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color w:val="333333"/>
                <w:sz w:val="20"/>
                <w:szCs w:val="20"/>
                <w:rtl w:val="0"/>
              </w:rPr>
              <w:t xml:space="preserve">Registros outliers (acima de 17h)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color w:val="333333"/>
                <w:sz w:val="20"/>
                <w:szCs w:val="20"/>
                <w:rtl w:val="0"/>
              </w:rPr>
              <w:t xml:space="preserve">44 registros</w:t>
            </w:r>
            <w:r w:rsidDel="00000000" w:rsidR="00000000" w:rsidRPr="00000000">
              <w:rPr>
                <w:rtl w:val="0"/>
              </w:rPr>
            </w:r>
          </w:p>
        </w:tc>
      </w:tr>
    </w:tbl>
    <w:p w:rsidR="00000000" w:rsidDel="00000000" w:rsidP="00000000" w:rsidRDefault="00000000" w:rsidRPr="00000000" w14:paraId="00000097">
      <w:pPr>
        <w:spacing w:after="80" w:before="0" w:lineRule="auto"/>
        <w:rPr/>
      </w:pPr>
      <w:r w:rsidDel="00000000" w:rsidR="00000000" w:rsidRPr="00000000">
        <w:rPr>
          <w:rtl w:val="0"/>
        </w:rPr>
        <w:t xml:space="preserve"> </w:t>
      </w:r>
    </w:p>
    <w:p w:rsidR="00000000" w:rsidDel="00000000" w:rsidP="00000000" w:rsidRDefault="00000000" w:rsidRPr="00000000" w14:paraId="00000098">
      <w:pPr>
        <w:spacing w:after="120" w:before="80" w:line="276" w:lineRule="auto"/>
        <w:jc w:val="both"/>
        <w:rPr/>
      </w:pPr>
      <w:r w:rsidDel="00000000" w:rsidR="00000000" w:rsidRPr="00000000">
        <w:rPr>
          <w:rFonts w:ascii="Arial" w:cs="Arial" w:eastAsia="Arial" w:hAnsi="Arial"/>
          <w:color w:val="222222"/>
          <w:sz w:val="22"/>
          <w:szCs w:val="22"/>
          <w:rtl w:val="0"/>
        </w:rPr>
        <w:t xml:space="preserve">Os 44 registros identificados como outliers apresentam durações de ausência que variam entre 24 e 120 horas, com os seguintes valores únicos: 24h, 32h, 40h, 48h, 56h, 64h, 80h, 104h, 112h e 120h. Nota-se que esses valores seguem uma progressão regular de múltiplos de 8 (jornada diária), sugerindo que se tratam de ausências de dias inteiros contabilizadas de forma consistente — não necessariamente erros de medição, mas situações clinicamente distintas das ausências curtas que dominam a distribuição.</w:t>
      </w:r>
      <w:r w:rsidDel="00000000" w:rsidR="00000000" w:rsidRPr="00000000">
        <w:rPr>
          <w:rtl w:val="0"/>
        </w:rPr>
      </w:r>
    </w:p>
    <w:p w:rsidR="00000000" w:rsidDel="00000000" w:rsidP="00000000" w:rsidRDefault="00000000" w:rsidRPr="00000000" w14:paraId="00000099">
      <w:pPr>
        <w:spacing w:after="120" w:before="80" w:line="276" w:lineRule="auto"/>
        <w:jc w:val="both"/>
        <w:rPr/>
      </w:pPr>
      <w:r w:rsidDel="00000000" w:rsidR="00000000" w:rsidRPr="00000000">
        <w:rPr>
          <w:rFonts w:ascii="Arial" w:cs="Arial" w:eastAsia="Arial" w:hAnsi="Arial"/>
          <w:color w:val="222222"/>
          <w:sz w:val="22"/>
          <w:szCs w:val="22"/>
          <w:rtl w:val="0"/>
        </w:rPr>
        <w:t xml:space="preserve">A distribuição da variável-alvo é fortemente assimétrica à direita (right-skewed): a grande maioria dos registros (mais de 80%) concentra-se na faixa de 0 a 8 horas, enquanto a cauda longa se estende até 120 horas. Essa bimodalidade evidente — com picos em 2h, 3h e 8h — sugere que o fenômeno do absenteísmo se manifesta em dois padrões distintos: ausências curtas pontuais (saída médica, consulta) e ausências prolongadas por condições graves.</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tl w:val="0"/>
        </w:rPr>
        <w:t xml:space="preserve"> </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Faixa de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Frequência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20"/>
                <w:szCs w:val="20"/>
                <w:rtl w:val="0"/>
              </w:rPr>
              <w:t xml:space="preserve">% do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color w:val="333333"/>
                <w:sz w:val="20"/>
                <w:szCs w:val="20"/>
                <w:rtl w:val="0"/>
              </w:rPr>
              <w:t xml:space="preserve">0h (sem ausência)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color w:val="333333"/>
                <w:sz w:val="20"/>
                <w:szCs w:val="20"/>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color w:val="333333"/>
                <w:sz w:val="20"/>
                <w:szCs w:val="20"/>
                <w:rtl w:val="0"/>
              </w:rPr>
              <w:t xml:space="preserve">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color w:val="333333"/>
                <w:sz w:val="20"/>
                <w:szCs w:val="20"/>
                <w:rtl w:val="0"/>
              </w:rPr>
              <w:t xml:space="preserve">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color w:val="333333"/>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color w:val="333333"/>
                <w:sz w:val="20"/>
                <w:szCs w:val="20"/>
                <w:rtl w:val="0"/>
              </w:rPr>
              <w:t xml:space="preserve">11,9%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color w:val="333333"/>
                <w:sz w:val="20"/>
                <w:szCs w:val="20"/>
                <w:rtl w:val="0"/>
              </w:rPr>
              <w:t xml:space="preserve">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color w:val="333333"/>
                <w:sz w:val="20"/>
                <w:szCs w:val="20"/>
                <w:rtl w:val="0"/>
              </w:rPr>
              <w:t xml:space="preserve">157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color w:val="333333"/>
                <w:sz w:val="20"/>
                <w:szCs w:val="20"/>
                <w:rtl w:val="0"/>
              </w:rPr>
              <w:t xml:space="preserve">21,2%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color w:val="333333"/>
                <w:sz w:val="20"/>
                <w:szCs w:val="20"/>
                <w:rtl w:val="0"/>
              </w:rPr>
              <w:t xml:space="preserve">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color w:val="333333"/>
                <w:sz w:val="20"/>
                <w:szCs w:val="20"/>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color w:val="333333"/>
                <w:sz w:val="20"/>
                <w:szCs w:val="20"/>
                <w:rtl w:val="0"/>
              </w:rPr>
              <w:t xml:space="preserve">15,1%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color w:val="333333"/>
                <w:sz w:val="20"/>
                <w:szCs w:val="20"/>
                <w:rtl w:val="0"/>
              </w:rPr>
              <w:t xml:space="preserve">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color w:val="333333"/>
                <w:sz w:val="20"/>
                <w:szCs w:val="20"/>
                <w:rtl w:val="0"/>
              </w:rPr>
              <w:t xml:space="preserve">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color w:val="333333"/>
                <w:sz w:val="20"/>
                <w:szCs w:val="20"/>
                <w:rtl w:val="0"/>
              </w:rPr>
              <w:t xml:space="preserve">5–7h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color w:val="333333"/>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color w:val="333333"/>
                <w:sz w:val="20"/>
                <w:szCs w:val="20"/>
                <w:rtl w:val="0"/>
              </w:rPr>
              <w:t xml:space="preserve">8h (1 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color w:val="333333"/>
                <w:sz w:val="20"/>
                <w:szCs w:val="20"/>
                <w:rtl w:val="0"/>
              </w:rPr>
              <w:t xml:space="preserve">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color w:val="333333"/>
                <w:sz w:val="20"/>
                <w:szCs w:val="20"/>
                <w:rtl w:val="0"/>
              </w:rPr>
              <w:t xml:space="preserve">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color w:val="333333"/>
                <w:sz w:val="20"/>
                <w:szCs w:val="20"/>
                <w:rtl w:val="0"/>
              </w:rPr>
              <w:t xml:space="preserve">16–17h (2 dias)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color w:val="333333"/>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color w:val="333333"/>
                <w:sz w:val="20"/>
                <w:szCs w:val="20"/>
                <w:rtl w:val="0"/>
              </w:rPr>
              <w:t xml:space="preserve">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color w:val="333333"/>
                <w:sz w:val="20"/>
                <w:szCs w:val="20"/>
                <w:rtl w:val="0"/>
              </w:rPr>
              <w:t xml:space="preserve">Acima de 17h (outliers)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color w:val="333333"/>
                <w:sz w:val="20"/>
                <w:szCs w:val="20"/>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color w:val="333333"/>
                <w:sz w:val="20"/>
                <w:szCs w:val="20"/>
                <w:rtl w:val="0"/>
              </w:rPr>
              <w:t xml:space="preserve">5,9%</w:t>
            </w:r>
            <w:r w:rsidDel="00000000" w:rsidR="00000000" w:rsidRPr="00000000">
              <w:rPr>
                <w:rtl w:val="0"/>
              </w:rPr>
            </w:r>
          </w:p>
        </w:tc>
      </w:tr>
    </w:tbl>
    <w:p w:rsidR="00000000" w:rsidDel="00000000" w:rsidP="00000000" w:rsidRDefault="00000000" w:rsidRPr="00000000" w14:paraId="000000B9">
      <w:pPr>
        <w:spacing w:after="80" w:before="0" w:lineRule="auto"/>
        <w:rPr/>
      </w:pPr>
      <w:r w:rsidDel="00000000" w:rsidR="00000000" w:rsidRPr="00000000">
        <w:rPr>
          <w:rtl w:val="0"/>
        </w:rPr>
        <w:t xml:space="preserve"> </w:t>
      </w:r>
    </w:p>
    <w:p w:rsidR="00000000" w:rsidDel="00000000" w:rsidP="00000000" w:rsidRDefault="00000000" w:rsidRPr="00000000" w14:paraId="000000BA">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3.5 Medidas de Tendência Central e Dispersão</w:t>
      </w:r>
      <w:r w:rsidDel="00000000" w:rsidR="00000000" w:rsidRPr="00000000">
        <w:rPr>
          <w:rtl w:val="0"/>
        </w:rPr>
      </w:r>
    </w:p>
    <w:p w:rsidR="00000000" w:rsidDel="00000000" w:rsidP="00000000" w:rsidRDefault="00000000" w:rsidRPr="00000000" w14:paraId="000000BB">
      <w:pPr>
        <w:spacing w:after="120" w:before="80" w:line="276" w:lineRule="auto"/>
        <w:jc w:val="both"/>
        <w:rPr/>
      </w:pPr>
      <w:r w:rsidDel="00000000" w:rsidR="00000000" w:rsidRPr="00000000">
        <w:rPr>
          <w:rFonts w:ascii="Arial" w:cs="Arial" w:eastAsia="Arial" w:hAnsi="Arial"/>
          <w:color w:val="222222"/>
          <w:sz w:val="22"/>
          <w:szCs w:val="22"/>
          <w:rtl w:val="0"/>
        </w:rPr>
        <w:t xml:space="preserve">A análise das principais variáveis numéricas revela um perfil diversificado da força de trabalho. Em relação à variável-alvo, a média de horas ausentes é de 6,92 horas por registro, mas esse valor médio é inflado pelos outliers: a mediana de apenas 3 horas evidencia que a metade dos eventos de absenteísmo dura, no máximo, 3 horas. Esse contraste entre média e mediana é um sinal claro da presença de valores extremos que distorcem a percepção da realidade.</w:t>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tl w:val="0"/>
        </w:rPr>
        <w:t xml:space="preserve"> </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900"/>
        <w:gridCol w:w="3326"/>
        <w:tblGridChange w:id="0">
          <w:tblGrid>
            <w:gridCol w:w="2800"/>
            <w:gridCol w:w="1000"/>
            <w:gridCol w:w="1000"/>
            <w:gridCol w:w="900"/>
            <w:gridCol w:w="33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0"/>
                <w:szCs w:val="20"/>
                <w:rtl w:val="0"/>
              </w:rPr>
              <w:t xml:space="preserve">Variável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0"/>
                <w:szCs w:val="20"/>
                <w:rtl w:val="0"/>
              </w:rPr>
              <w:t xml:space="preserve">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0"/>
                <w:szCs w:val="20"/>
                <w:rtl w:val="0"/>
              </w:rPr>
              <w:t xml:space="preserve">Máximo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Observação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color w:val="333333"/>
                <w:sz w:val="20"/>
                <w:szCs w:val="20"/>
                <w:rtl w:val="0"/>
              </w:rPr>
              <w:t xml:space="preserve">Absenteeism_time_in_hours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color w:val="333333"/>
                <w:sz w:val="20"/>
                <w:szCs w:val="20"/>
                <w:rtl w:val="0"/>
              </w:rPr>
              <w:t xml:space="preserve">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color w:val="333333"/>
                <w:sz w:val="20"/>
                <w:szCs w:val="20"/>
                <w:rtl w:val="0"/>
              </w:rPr>
              <w:t xml:space="preserve">120h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color w:val="333333"/>
                <w:sz w:val="20"/>
                <w:szCs w:val="20"/>
                <w:rtl w:val="0"/>
              </w:rPr>
              <w:t xml:space="preserve">6,92h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color w:val="333333"/>
                <w:sz w:val="20"/>
                <w:szCs w:val="20"/>
                <w:rtl w:val="0"/>
              </w:rPr>
              <w:t xml:space="preserve">Mediana = 3h; alta assimetria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color w:val="333333"/>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color w:val="333333"/>
                <w:sz w:val="20"/>
                <w:szCs w:val="20"/>
                <w:rtl w:val="0"/>
              </w:rPr>
              <w:t xml:space="preserve">27 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color w:val="333333"/>
                <w:sz w:val="20"/>
                <w:szCs w:val="20"/>
                <w:rtl w:val="0"/>
              </w:rPr>
              <w:t xml:space="preserve">58 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color w:val="333333"/>
                <w:sz w:val="20"/>
                <w:szCs w:val="20"/>
                <w:rtl w:val="0"/>
              </w:rPr>
              <w:t xml:space="preserve">36,5 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color w:val="333333"/>
                <w:sz w:val="20"/>
                <w:szCs w:val="20"/>
                <w:rtl w:val="0"/>
              </w:rPr>
              <w:t xml:space="preserve">Força de trabalho relativamente jovem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color w:val="333333"/>
                <w:sz w:val="20"/>
                <w:szCs w:val="20"/>
                <w:rtl w:val="0"/>
              </w:rPr>
              <w:t xml:space="preserve">Distance_from_Residence_to_Work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color w:val="333333"/>
                <w:sz w:val="20"/>
                <w:szCs w:val="20"/>
                <w:rtl w:val="0"/>
              </w:rPr>
              <w:t xml:space="preserve">5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color w:val="333333"/>
                <w:sz w:val="20"/>
                <w:szCs w:val="20"/>
                <w:rtl w:val="0"/>
              </w:rPr>
              <w:t xml:space="preserve">52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color w:val="333333"/>
                <w:sz w:val="20"/>
                <w:szCs w:val="20"/>
                <w:rtl w:val="0"/>
              </w:rPr>
              <w:t xml:space="preserve">29,6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color w:val="333333"/>
                <w:sz w:val="20"/>
                <w:szCs w:val="20"/>
                <w:rtl w:val="0"/>
              </w:rPr>
              <w:t xml:space="preserve">Alta variabilidade; alguns muito distantes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color w:val="333333"/>
                <w:sz w:val="20"/>
                <w:szCs w:val="20"/>
                <w:rtl w:val="0"/>
              </w:rPr>
              <w:t xml:space="preserve">Transportation_expense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color w:val="333333"/>
                <w:sz w:val="20"/>
                <w:szCs w:val="20"/>
                <w:rtl w:val="0"/>
              </w:rPr>
              <w:t xml:space="preserve">R$ 118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color w:val="333333"/>
                <w:sz w:val="20"/>
                <w:szCs w:val="20"/>
                <w:rtl w:val="0"/>
              </w:rPr>
              <w:t xml:space="preserve">R$ 388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color w:val="333333"/>
                <w:sz w:val="20"/>
                <w:szCs w:val="20"/>
                <w:rtl w:val="0"/>
              </w:rPr>
              <w:t xml:space="preserve">R$ 221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color w:val="333333"/>
                <w:sz w:val="20"/>
                <w:szCs w:val="20"/>
                <w:rtl w:val="0"/>
              </w:rPr>
              <w:t xml:space="preserve">Reflete diversidade de modais e distâncias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color w:val="333333"/>
                <w:sz w:val="20"/>
                <w:szCs w:val="20"/>
                <w:rtl w:val="0"/>
              </w:rPr>
              <w:t xml:space="preserve">Service_time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color w:val="333333"/>
                <w:sz w:val="20"/>
                <w:szCs w:val="20"/>
                <w:rtl w:val="0"/>
              </w:rPr>
              <w:t xml:space="preserve">1 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color w:val="333333"/>
                <w:sz w:val="20"/>
                <w:szCs w:val="20"/>
                <w:rtl w:val="0"/>
              </w:rPr>
              <w:t xml:space="preserve">29 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color w:val="333333"/>
                <w:sz w:val="20"/>
                <w:szCs w:val="20"/>
                <w:rtl w:val="0"/>
              </w:rPr>
              <w:t xml:space="preserve">12,5 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color w:val="333333"/>
                <w:sz w:val="20"/>
                <w:szCs w:val="20"/>
                <w:rtl w:val="0"/>
              </w:rPr>
              <w:t xml:space="preserve">Grande heterogeneidade de senioridade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color w:val="333333"/>
                <w:sz w:val="20"/>
                <w:szCs w:val="20"/>
                <w:rtl w:val="0"/>
              </w:rPr>
              <w:t xml:space="preserve">Hit_target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color w:val="333333"/>
                <w:sz w:val="20"/>
                <w:szCs w:val="20"/>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color w:val="333333"/>
                <w:sz w:val="20"/>
                <w:szCs w:val="20"/>
                <w:rtl w:val="0"/>
              </w:rPr>
              <w:t xml:space="preserve">94,6%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color w:val="333333"/>
                <w:sz w:val="20"/>
                <w:szCs w:val="20"/>
                <w:rtl w:val="0"/>
              </w:rPr>
              <w:t xml:space="preserve">Alta concentração acima de 90%; pouco discriminativo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color w:val="333333"/>
                <w:sz w:val="20"/>
                <w:szCs w:val="20"/>
                <w:rtl w:val="0"/>
              </w:rPr>
              <w:t xml:space="preserve">Work_load_Average_day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color w:val="333333"/>
                <w:sz w:val="20"/>
                <w:szCs w:val="20"/>
                <w:rtl w:val="0"/>
              </w:rPr>
              <w:t xml:space="preserve">205.917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color w:val="333333"/>
                <w:sz w:val="20"/>
                <w:szCs w:val="20"/>
                <w:rtl w:val="0"/>
              </w:rPr>
              <w:t xml:space="preserve">378.884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color w:val="333333"/>
                <w:sz w:val="20"/>
                <w:szCs w:val="20"/>
                <w:rtl w:val="0"/>
              </w:rPr>
              <w:t xml:space="preserve">271.490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color w:val="333333"/>
                <w:sz w:val="20"/>
                <w:szCs w:val="20"/>
                <w:rtl w:val="0"/>
              </w:rPr>
              <w:t xml:space="preserve">Alta variação absoluta; necessita normalização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color w:val="333333"/>
                <w:sz w:val="20"/>
                <w:szCs w:val="20"/>
                <w:rtl w:val="0"/>
              </w:rPr>
              <w:t xml:space="preserve">Body_mass_index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color w:val="333333"/>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color w:val="333333"/>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color w:val="333333"/>
                <w:sz w:val="20"/>
                <w:szCs w:val="20"/>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color w:val="333333"/>
                <w:sz w:val="20"/>
                <w:szCs w:val="20"/>
                <w:rtl w:val="0"/>
              </w:rPr>
              <w:t xml:space="preserve">Inclui casos de sobrepeso e possível obesidade</w:t>
            </w:r>
            <w:r w:rsidDel="00000000" w:rsidR="00000000" w:rsidRPr="00000000">
              <w:rPr>
                <w:rtl w:val="0"/>
              </w:rPr>
            </w:r>
          </w:p>
        </w:tc>
      </w:tr>
    </w:tbl>
    <w:p w:rsidR="00000000" w:rsidDel="00000000" w:rsidP="00000000" w:rsidRDefault="00000000" w:rsidRPr="00000000" w14:paraId="000000EA">
      <w:pPr>
        <w:spacing w:after="80" w:before="0" w:lineRule="auto"/>
        <w:rPr/>
      </w:pPr>
      <w:r w:rsidDel="00000000" w:rsidR="00000000" w:rsidRPr="00000000">
        <w:rPr>
          <w:rtl w:val="0"/>
        </w:rPr>
        <w:t xml:space="preserve"> </w:t>
      </w:r>
    </w:p>
    <w:p w:rsidR="00000000" w:rsidDel="00000000" w:rsidP="00000000" w:rsidRDefault="00000000" w:rsidRPr="00000000" w14:paraId="000000EB">
      <w:pPr>
        <w:pStyle w:val="Heading1"/>
        <w:pBdr>
          <w:bottom w:color="2e75b6" w:space="6"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4. Plano de Tratamento de Dados</w:t>
      </w:r>
      <w:r w:rsidDel="00000000" w:rsidR="00000000" w:rsidRPr="00000000">
        <w:rPr>
          <w:rtl w:val="0"/>
        </w:rPr>
      </w:r>
    </w:p>
    <w:p w:rsidR="00000000" w:rsidDel="00000000" w:rsidP="00000000" w:rsidRDefault="00000000" w:rsidRPr="00000000" w14:paraId="000000EC">
      <w:pPr>
        <w:spacing w:after="120" w:before="80" w:line="276" w:lineRule="auto"/>
        <w:jc w:val="both"/>
        <w:rPr/>
      </w:pPr>
      <w:r w:rsidDel="00000000" w:rsidR="00000000" w:rsidRPr="00000000">
        <w:rPr>
          <w:rFonts w:ascii="Arial" w:cs="Arial" w:eastAsia="Arial" w:hAnsi="Arial"/>
          <w:color w:val="222222"/>
          <w:sz w:val="22"/>
          <w:szCs w:val="22"/>
          <w:rtl w:val="0"/>
        </w:rPr>
        <w:t xml:space="preserve">Com o diagnóstico da fase exploratória em mãos, esta seção descreve as estratégias de limpeza recomendadas para cada categoria de problema identificado. O objetivo é transformar a base bruta em um conjunto de dados íntegro, sem perda crítica de volume informacional.</w:t>
      </w:r>
      <w:r w:rsidDel="00000000" w:rsidR="00000000" w:rsidRPr="00000000">
        <w:rPr>
          <w:rtl w:val="0"/>
        </w:rPr>
      </w:r>
    </w:p>
    <w:p w:rsidR="00000000" w:rsidDel="00000000" w:rsidP="00000000" w:rsidRDefault="00000000" w:rsidRPr="00000000" w14:paraId="000000ED">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4.1 Remoção de Duplicatas</w:t>
      </w:r>
      <w:r w:rsidDel="00000000" w:rsidR="00000000" w:rsidRPr="00000000">
        <w:rPr>
          <w:rtl w:val="0"/>
        </w:rPr>
      </w:r>
    </w:p>
    <w:p w:rsidR="00000000" w:rsidDel="00000000" w:rsidP="00000000" w:rsidRDefault="00000000" w:rsidRPr="00000000" w14:paraId="000000EE">
      <w:pPr>
        <w:spacing w:after="120" w:before="80" w:line="276" w:lineRule="auto"/>
        <w:jc w:val="both"/>
        <w:rPr/>
      </w:pPr>
      <w:r w:rsidDel="00000000" w:rsidR="00000000" w:rsidRPr="00000000">
        <w:rPr>
          <w:rFonts w:ascii="Arial" w:cs="Arial" w:eastAsia="Arial" w:hAnsi="Arial"/>
          <w:color w:val="222222"/>
          <w:sz w:val="22"/>
          <w:szCs w:val="22"/>
          <w:rtl w:val="0"/>
        </w:rPr>
        <w:t xml:space="preserve">Os 34 registros duplicados exatos devem ser removidos sem substituição ou imputação. Como todas as 21 colunas são idênticas, não há informação adicional a ser preservada. A remoção é a estratégia mais conservadora e tecnicamente correta, resultando em uma base de 706 registros únicos — ainda estatisticamente robusta para análises.</w:t>
      </w:r>
      <w:r w:rsidDel="00000000" w:rsidR="00000000" w:rsidRPr="00000000">
        <w:rPr>
          <w:rtl w:val="0"/>
        </w:rPr>
      </w:r>
    </w:p>
    <w:p w:rsidR="00000000" w:rsidDel="00000000" w:rsidP="00000000" w:rsidRDefault="00000000" w:rsidRPr="00000000" w14:paraId="000000EF">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4.2 Tratamento de Month_of_absence igual a zero</w:t>
      </w:r>
      <w:r w:rsidDel="00000000" w:rsidR="00000000" w:rsidRPr="00000000">
        <w:rPr>
          <w:rtl w:val="0"/>
        </w:rPr>
      </w:r>
    </w:p>
    <w:p w:rsidR="00000000" w:rsidDel="00000000" w:rsidP="00000000" w:rsidRDefault="00000000" w:rsidRPr="00000000" w14:paraId="000000F0">
      <w:pPr>
        <w:spacing w:after="120" w:before="80" w:line="276" w:lineRule="auto"/>
        <w:jc w:val="both"/>
        <w:rPr/>
      </w:pPr>
      <w:r w:rsidDel="00000000" w:rsidR="00000000" w:rsidRPr="00000000">
        <w:rPr>
          <w:rFonts w:ascii="Arial" w:cs="Arial" w:eastAsia="Arial" w:hAnsi="Arial"/>
          <w:color w:val="222222"/>
          <w:sz w:val="22"/>
          <w:szCs w:val="22"/>
          <w:rtl w:val="0"/>
        </w:rPr>
        <w:t xml:space="preserve">Os 3 registros com Month_of_absence = 0 devem ser avaliados individualmente. Existem duas abordagens possíveis. Se os demais campos do registro forem consistentes (motivo, duração, colaborador identificado), recomenda-se marcar o mês como ausente (NaN) e aplicar imputação por moda condicional — isto é, o mês mais frequente para aquele colaborador específico. Caso os registros apresentem outras inconsistências, a remoção é preferível, dado o volume mínimo de perda (0,4% da base).</w:t>
      </w: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4.3 Tratamento de Registros com Zero Horas</w:t>
      </w:r>
      <w:r w:rsidDel="00000000" w:rsidR="00000000" w:rsidRPr="00000000">
        <w:rPr>
          <w:rtl w:val="0"/>
        </w:rPr>
      </w:r>
    </w:p>
    <w:p w:rsidR="00000000" w:rsidDel="00000000" w:rsidP="00000000" w:rsidRDefault="00000000" w:rsidRPr="00000000" w14:paraId="000000F2">
      <w:pPr>
        <w:spacing w:after="120" w:before="80" w:line="276" w:lineRule="auto"/>
        <w:jc w:val="both"/>
        <w:rPr/>
      </w:pPr>
      <w:r w:rsidDel="00000000" w:rsidR="00000000" w:rsidRPr="00000000">
        <w:rPr>
          <w:rFonts w:ascii="Arial" w:cs="Arial" w:eastAsia="Arial" w:hAnsi="Arial"/>
          <w:color w:val="222222"/>
          <w:sz w:val="22"/>
          <w:szCs w:val="22"/>
          <w:rtl w:val="0"/>
        </w:rPr>
        <w:t xml:space="preserve">Os 44 registros com Absenteeism_time_in_hours = 0 e Reason_for_absence = 0 representam um caso ambíguo. Há duas interpretações possíveis: são registros de presença plena incluídos erroneamente na base de absenteísmo, ou são registros com falha de preenchimento. Recomenda-se a criação de um subconjunto de análise que exclua esses registros ao estudar a variável-alvo, sem necessariamente deletá-los da base — preservando-os para estudos secundários de assiduidade.</w:t>
      </w:r>
      <w:r w:rsidDel="00000000" w:rsidR="00000000" w:rsidRPr="00000000">
        <w:rPr>
          <w:rtl w:val="0"/>
        </w:rPr>
      </w:r>
    </w:p>
    <w:p w:rsidR="00000000" w:rsidDel="00000000" w:rsidP="00000000" w:rsidRDefault="00000000" w:rsidRPr="00000000" w14:paraId="000000F3">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4.4 Tratamento de Outliers em Absenteeism_time_in_hours</w:t>
      </w:r>
      <w:r w:rsidDel="00000000" w:rsidR="00000000" w:rsidRPr="00000000">
        <w:rPr>
          <w:rtl w:val="0"/>
        </w:rPr>
      </w:r>
    </w:p>
    <w:p w:rsidR="00000000" w:rsidDel="00000000" w:rsidP="00000000" w:rsidRDefault="00000000" w:rsidRPr="00000000" w14:paraId="000000F4">
      <w:pPr>
        <w:spacing w:after="120" w:before="80" w:line="276" w:lineRule="auto"/>
        <w:jc w:val="both"/>
        <w:rPr/>
      </w:pPr>
      <w:r w:rsidDel="00000000" w:rsidR="00000000" w:rsidRPr="00000000">
        <w:rPr>
          <w:rFonts w:ascii="Arial" w:cs="Arial" w:eastAsia="Arial" w:hAnsi="Arial"/>
          <w:color w:val="222222"/>
          <w:sz w:val="22"/>
          <w:szCs w:val="22"/>
          <w:rtl w:val="0"/>
        </w:rPr>
        <w:t xml:space="preserve">Os 44 registros acima de 17 horas (limite superior do IQR) não devem ser simplesmente removidos, pois representam fenômenos reais — ausências prolongadas por doenças graves ou acidentes de trabalho. A estratégia recomendada é a segregação analítica: criar dois segmentos distintos para análise —ausências curtas (0–17h) e ausências prolongadas (&gt;17h) — e tratá-los com abordagens específicas.</w:t>
      </w:r>
      <w:r w:rsidDel="00000000" w:rsidR="00000000" w:rsidRPr="00000000">
        <w:rPr>
          <w:rtl w:val="0"/>
        </w:rPr>
      </w:r>
    </w:p>
    <w:p w:rsidR="00000000" w:rsidDel="00000000" w:rsidP="00000000" w:rsidRDefault="00000000" w:rsidRPr="00000000" w14:paraId="000000F5">
      <w:pPr>
        <w:spacing w:after="120" w:before="80" w:line="276" w:lineRule="auto"/>
        <w:jc w:val="both"/>
        <w:rPr/>
      </w:pPr>
      <w:r w:rsidDel="00000000" w:rsidR="00000000" w:rsidRPr="00000000">
        <w:rPr>
          <w:rFonts w:ascii="Arial" w:cs="Arial" w:eastAsia="Arial" w:hAnsi="Arial"/>
          <w:color w:val="222222"/>
          <w:sz w:val="22"/>
          <w:szCs w:val="22"/>
          <w:rtl w:val="0"/>
        </w:rPr>
        <w:t xml:space="preserve">Para modelos preditivos, caso o objetivo seja estimar ausências típicas, a suavização via Winsorização é adequada: substituir valores acima do percentil 95 pelo próprio valor do percentil 95 (no caso, 8h), preservando a tendência sem permitir que casos extremos distorçam os coeficientes.</w:t>
      </w:r>
      <w:r w:rsidDel="00000000" w:rsidR="00000000" w:rsidRPr="00000000">
        <w:rPr>
          <w:rtl w:val="0"/>
        </w:rPr>
      </w:r>
    </w:p>
    <w:p w:rsidR="00000000" w:rsidDel="00000000" w:rsidP="00000000" w:rsidRDefault="00000000" w:rsidRPr="00000000" w14:paraId="000000F6">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4.5 Conversão de Tipos de Variáveis</w:t>
      </w:r>
      <w:r w:rsidDel="00000000" w:rsidR="00000000" w:rsidRPr="00000000">
        <w:rPr>
          <w:rtl w:val="0"/>
        </w:rPr>
      </w:r>
    </w:p>
    <w:p w:rsidR="00000000" w:rsidDel="00000000" w:rsidP="00000000" w:rsidRDefault="00000000" w:rsidRPr="00000000" w14:paraId="000000F7">
      <w:pPr>
        <w:spacing w:after="120" w:before="80" w:line="276" w:lineRule="auto"/>
        <w:jc w:val="both"/>
        <w:rPr/>
      </w:pPr>
      <w:r w:rsidDel="00000000" w:rsidR="00000000" w:rsidRPr="00000000">
        <w:rPr>
          <w:rFonts w:ascii="Arial" w:cs="Arial" w:eastAsia="Arial" w:hAnsi="Arial"/>
          <w:color w:val="222222"/>
          <w:sz w:val="22"/>
          <w:szCs w:val="22"/>
          <w:rtl w:val="0"/>
        </w:rPr>
        <w:t xml:space="preserve">As variáveis ID, Reason_for_absence, Month_of_absence, Day_of_the_week, Seasons, Disciplinary_failure, Education, Social_drinker e Social_smoker devem ser convertidas explicitamente para o tipo categórico (string ou integer codificado). Essa conversão impedirá que operações matemáticas inadequadas sejam aplicadas automaticamente sobre essas colunas em pipelines analíticos ou modelos de machine learning.</w:t>
      </w:r>
      <w:r w:rsidDel="00000000" w:rsidR="00000000" w:rsidRPr="00000000">
        <w:rPr>
          <w:rtl w:val="0"/>
        </w:rPr>
      </w:r>
    </w:p>
    <w:p w:rsidR="00000000" w:rsidDel="00000000" w:rsidP="00000000" w:rsidRDefault="00000000" w:rsidRPr="00000000" w14:paraId="000000F8">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4.6 Padronização e Normalização</w:t>
      </w:r>
      <w:r w:rsidDel="00000000" w:rsidR="00000000" w:rsidRPr="00000000">
        <w:rPr>
          <w:rtl w:val="0"/>
        </w:rPr>
      </w:r>
    </w:p>
    <w:p w:rsidR="00000000" w:rsidDel="00000000" w:rsidP="00000000" w:rsidRDefault="00000000" w:rsidRPr="00000000" w14:paraId="000000F9">
      <w:pPr>
        <w:spacing w:after="120" w:before="80" w:line="276" w:lineRule="auto"/>
        <w:jc w:val="both"/>
        <w:rPr/>
      </w:pPr>
      <w:r w:rsidDel="00000000" w:rsidR="00000000" w:rsidRPr="00000000">
        <w:rPr>
          <w:rFonts w:ascii="Arial" w:cs="Arial" w:eastAsia="Arial" w:hAnsi="Arial"/>
          <w:color w:val="222222"/>
          <w:sz w:val="22"/>
          <w:szCs w:val="22"/>
          <w:rtl w:val="0"/>
        </w:rPr>
        <w:t xml:space="preserve">Variáveis com escalas muito distintas — como Work_load_Average_day (centenas de milhares) e Body_mass_index (dezenas) — devem ser normalizadas antes de qualquer modelagem. Recomenda-se a normalização Min-Max para variáveis com distribuição não-normal ou a padronização Z-score para variáveis aproximadamente normais, como Age e Service_time.</w:t>
      </w:r>
      <w:r w:rsidDel="00000000" w:rsidR="00000000" w:rsidRPr="00000000">
        <w:rPr>
          <w:rtl w:val="0"/>
        </w:rPr>
      </w:r>
    </w:p>
    <w:p w:rsidR="00000000" w:rsidDel="00000000" w:rsidP="00000000" w:rsidRDefault="00000000" w:rsidRPr="00000000" w14:paraId="000000FA">
      <w:pPr>
        <w:spacing w:after="80" w:before="0" w:lineRule="auto"/>
        <w:rPr/>
      </w:pPr>
      <w:r w:rsidDel="00000000" w:rsidR="00000000" w:rsidRPr="00000000">
        <w:rPr>
          <w:rtl w:val="0"/>
        </w:rPr>
        <w:t xml:space="preserve"> </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20"/>
                <w:szCs w:val="20"/>
                <w:rtl w:val="0"/>
              </w:rPr>
              <w:t xml:space="preserve">Problema Identificado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20"/>
                <w:szCs w:val="20"/>
                <w:rtl w:val="0"/>
              </w:rPr>
              <w:t xml:space="preserve">Estratégia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20"/>
                <w:szCs w:val="20"/>
                <w:rtl w:val="0"/>
              </w:rPr>
              <w:t xml:space="preserve">Registros Afetados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color w:val="333333"/>
                <w:sz w:val="20"/>
                <w:szCs w:val="20"/>
                <w:rtl w:val="0"/>
              </w:rPr>
              <w:t xml:space="preserve">Duplicatas exatas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color w:val="333333"/>
                <w:sz w:val="20"/>
                <w:szCs w:val="20"/>
                <w:rtl w:val="0"/>
              </w:rPr>
              <w:t xml:space="preserve">Remoção direta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color w:val="333333"/>
                <w:sz w:val="20"/>
                <w:szCs w:val="20"/>
                <w:rtl w:val="0"/>
              </w:rPr>
              <w:t xml:space="preserve">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color w:val="333333"/>
                <w:sz w:val="20"/>
                <w:szCs w:val="20"/>
                <w:rtl w:val="0"/>
              </w:rPr>
              <w:t xml:space="preserve">Month_of_absence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color w:val="333333"/>
                <w:sz w:val="20"/>
                <w:szCs w:val="20"/>
                <w:rtl w:val="0"/>
              </w:rPr>
              <w:t xml:space="preserve">Imputação por moda condicional ou remoção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color w:val="333333"/>
                <w:sz w:val="20"/>
                <w:szCs w:val="20"/>
                <w:rtl w:val="0"/>
              </w:rPr>
              <w:t xml:space="preserve">0h ausência + motivo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color w:val="333333"/>
                <w:sz w:val="20"/>
                <w:szCs w:val="20"/>
                <w:rtl w:val="0"/>
              </w:rPr>
              <w:t xml:space="preserve">Segregação em subconjunto analítico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color w:val="333333"/>
                <w:sz w:val="20"/>
                <w:szCs w:val="20"/>
                <w:rtl w:val="0"/>
              </w:rPr>
              <w:t xml:space="preserve">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color w:val="333333"/>
                <w:sz w:val="20"/>
                <w:szCs w:val="20"/>
                <w:rtl w:val="0"/>
              </w:rPr>
              <w:t xml:space="preserve">Outliers (&gt;17h)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color w:val="333333"/>
                <w:sz w:val="20"/>
                <w:szCs w:val="20"/>
                <w:rtl w:val="0"/>
              </w:rPr>
              <w:t xml:space="preserve">Segregação ou Winsorização no percentil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color w:val="333333"/>
                <w:sz w:val="20"/>
                <w:szCs w:val="20"/>
                <w:rtl w:val="0"/>
              </w:rPr>
              <w:t xml:space="preserve">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color w:val="333333"/>
                <w:sz w:val="20"/>
                <w:szCs w:val="20"/>
                <w:rtl w:val="0"/>
              </w:rPr>
              <w:t xml:space="preserve">Variáveis categóricas em formato 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color w:val="333333"/>
                <w:sz w:val="20"/>
                <w:szCs w:val="20"/>
                <w:rtl w:val="0"/>
              </w:rPr>
              <w:t xml:space="preserve">Conversão de tipo explícita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color w:val="333333"/>
                <w:sz w:val="20"/>
                <w:szCs w:val="20"/>
                <w:rtl w:val="0"/>
              </w:rPr>
              <w:t xml:space="preserve">9 colunas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color w:val="333333"/>
                <w:sz w:val="20"/>
                <w:szCs w:val="20"/>
                <w:rtl w:val="0"/>
              </w:rPr>
              <w:t xml:space="preserve">Variáveis de escala divergente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color w:val="333333"/>
                <w:sz w:val="20"/>
                <w:szCs w:val="20"/>
                <w:rtl w:val="0"/>
              </w:rPr>
              <w:t xml:space="preserve">Normalização Min-Max ou Z-score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color w:val="333333"/>
                <w:sz w:val="20"/>
                <w:szCs w:val="20"/>
                <w:rtl w:val="0"/>
              </w:rPr>
              <w:t xml:space="preserve">3–5 colunas</w:t>
            </w:r>
            <w:r w:rsidDel="00000000" w:rsidR="00000000" w:rsidRPr="00000000">
              <w:rPr>
                <w:rtl w:val="0"/>
              </w:rPr>
            </w:r>
          </w:p>
        </w:tc>
      </w:tr>
    </w:tbl>
    <w:p w:rsidR="00000000" w:rsidDel="00000000" w:rsidP="00000000" w:rsidRDefault="00000000" w:rsidRPr="00000000" w14:paraId="00000110">
      <w:pPr>
        <w:spacing w:after="80" w:before="0" w:lineRule="auto"/>
        <w:rPr/>
      </w:pPr>
      <w:r w:rsidDel="00000000" w:rsidR="00000000" w:rsidRPr="00000000">
        <w:rPr>
          <w:rtl w:val="0"/>
        </w:rPr>
        <w:t xml:space="preserve"> </w:t>
      </w:r>
    </w:p>
    <w:p w:rsidR="00000000" w:rsidDel="00000000" w:rsidP="00000000" w:rsidRDefault="00000000" w:rsidRPr="00000000" w14:paraId="00000111">
      <w:pPr>
        <w:pStyle w:val="Heading1"/>
        <w:pBdr>
          <w:bottom w:color="2e75b6" w:space="6"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5. Insights para Storytelling e Comunicação Visual</w:t>
      </w:r>
      <w:r w:rsidDel="00000000" w:rsidR="00000000" w:rsidRPr="00000000">
        <w:rPr>
          <w:rtl w:val="0"/>
        </w:rPr>
      </w:r>
    </w:p>
    <w:p w:rsidR="00000000" w:rsidDel="00000000" w:rsidP="00000000" w:rsidRDefault="00000000" w:rsidRPr="00000000" w14:paraId="00000112">
      <w:pPr>
        <w:spacing w:after="120" w:before="80" w:line="276" w:lineRule="auto"/>
        <w:jc w:val="both"/>
        <w:rPr/>
      </w:pPr>
      <w:r w:rsidDel="00000000" w:rsidR="00000000" w:rsidRPr="00000000">
        <w:rPr>
          <w:rFonts w:ascii="Arial" w:cs="Arial" w:eastAsia="Arial" w:hAnsi="Arial"/>
          <w:color w:val="222222"/>
          <w:sz w:val="22"/>
          <w:szCs w:val="22"/>
          <w:rtl w:val="0"/>
        </w:rPr>
        <w:t xml:space="preserve">Esta seção apresenta as correlações mais relevantes identificadas na base, traduzindo padrões estatísticos em narrativas organizacionais significativas. Os insights a seguir foram selecionados pela sua capacidade explicativa e pelo potencial de orientar decisões de gestão de pessoas.</w:t>
      </w:r>
      <w:r w:rsidDel="00000000" w:rsidR="00000000" w:rsidRPr="00000000">
        <w:rPr>
          <w:rtl w:val="0"/>
        </w:rPr>
      </w:r>
    </w:p>
    <w:p w:rsidR="00000000" w:rsidDel="00000000" w:rsidP="00000000" w:rsidRDefault="00000000" w:rsidRPr="00000000" w14:paraId="00000113">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5.1 Consumo de Álcool e Tempo de Ausência</w:t>
      </w:r>
      <w:r w:rsidDel="00000000" w:rsidR="00000000" w:rsidRPr="00000000">
        <w:rPr>
          <w:rtl w:val="0"/>
        </w:rPr>
      </w:r>
    </w:p>
    <w:p w:rsidR="00000000" w:rsidDel="00000000" w:rsidP="00000000" w:rsidRDefault="00000000" w:rsidRPr="00000000" w14:paraId="00000114">
      <w:pPr>
        <w:spacing w:after="120" w:before="80" w:line="276" w:lineRule="auto"/>
        <w:jc w:val="both"/>
        <w:rPr/>
      </w:pPr>
      <w:r w:rsidDel="00000000" w:rsidR="00000000" w:rsidRPr="00000000">
        <w:rPr>
          <w:rFonts w:ascii="Arial" w:cs="Arial" w:eastAsia="Arial" w:hAnsi="Arial"/>
          <w:color w:val="222222"/>
          <w:sz w:val="22"/>
          <w:szCs w:val="22"/>
          <w:rtl w:val="0"/>
        </w:rPr>
        <w:t xml:space="preserve">A análise comparativa entre colaboradores que se declaram consumidores sociais de álcool (Social_drinker = 1) e os que não consomem (Social_drinker = 0) revela uma diferença expressiva no tempo médio de ausência: </w:t>
      </w:r>
      <w:r w:rsidDel="00000000" w:rsidR="00000000" w:rsidRPr="00000000">
        <w:rPr>
          <w:rFonts w:ascii="Arial" w:cs="Arial" w:eastAsia="Arial" w:hAnsi="Arial"/>
          <w:b w:val="1"/>
          <w:bCs w:val="1"/>
          <w:color w:val="222222"/>
          <w:sz w:val="22"/>
          <w:szCs w:val="22"/>
          <w:rtl w:val="0"/>
        </w:rPr>
        <w:t xml:space="preserve">bebedores sociais ausentam-se, em média, 7,68 horas por evento</w:t>
      </w:r>
      <w:r w:rsidDel="00000000" w:rsidR="00000000" w:rsidRPr="00000000">
        <w:rPr>
          <w:rFonts w:ascii="Arial" w:cs="Arial" w:eastAsia="Arial" w:hAnsi="Arial"/>
          <w:color w:val="222222"/>
          <w:sz w:val="22"/>
          <w:szCs w:val="22"/>
          <w:rtl w:val="0"/>
        </w:rPr>
        <w:t xml:space="preserve">, enquanto não-bebedores registram uma média de </w:t>
      </w:r>
      <w:r w:rsidDel="00000000" w:rsidR="00000000" w:rsidRPr="00000000">
        <w:rPr>
          <w:rFonts w:ascii="Arial" w:cs="Arial" w:eastAsia="Arial" w:hAnsi="Arial"/>
          <w:b w:val="1"/>
          <w:bCs w:val="1"/>
          <w:color w:val="222222"/>
          <w:sz w:val="22"/>
          <w:szCs w:val="22"/>
          <w:rtl w:val="0"/>
        </w:rPr>
        <w:t xml:space="preserve">5,93 horas</w:t>
      </w:r>
      <w:r w:rsidDel="00000000" w:rsidR="00000000" w:rsidRPr="00000000">
        <w:rPr>
          <w:rFonts w:ascii="Arial" w:cs="Arial" w:eastAsia="Arial" w:hAnsi="Arial"/>
          <w:color w:val="222222"/>
          <w:sz w:val="22"/>
          <w:szCs w:val="22"/>
          <w:rtl w:val="0"/>
        </w:rPr>
        <w:t xml:space="preserve"> — uma diferença de 29,5%. Adicionalmente, o grupo de bebedores sociais representa 56,8% da força de trabalho (420 de 740 registros), tornando esse fator relevante não apenas em magnitude individual, mas também em impacto coletivo.</w:t>
      </w:r>
      <w:r w:rsidDel="00000000" w:rsidR="00000000" w:rsidRPr="00000000">
        <w:rPr>
          <w:rtl w:val="0"/>
        </w:rPr>
      </w:r>
    </w:p>
    <w:p w:rsidR="00000000" w:rsidDel="00000000" w:rsidP="00000000" w:rsidRDefault="00000000" w:rsidRPr="00000000" w14:paraId="00000115">
      <w:pPr>
        <w:spacing w:after="120" w:before="80" w:line="276" w:lineRule="auto"/>
        <w:jc w:val="both"/>
        <w:rPr/>
      </w:pPr>
      <w:r w:rsidDel="00000000" w:rsidR="00000000" w:rsidRPr="00000000">
        <w:rPr>
          <w:rFonts w:ascii="Arial" w:cs="Arial" w:eastAsia="Arial" w:hAnsi="Arial"/>
          <w:color w:val="222222"/>
          <w:sz w:val="22"/>
          <w:szCs w:val="22"/>
          <w:rtl w:val="0"/>
        </w:rPr>
        <w:t xml:space="preserve">Do ponto de vista narrativo, esse padrão sugere que hábitos comportamentais fora do ambiente de trabalho têm reflexos mensuráveis na produtividade. Embora causalidade não possa ser estabelecida com base apenas em dados correlacionais, a diferença é suficientemente robusta para justificar programas de bem-estar corporativo focados em saúde preventiva e qualidade de vida.</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tl w:val="0"/>
        </w:rPr>
        <w:t xml:space="preserve"> </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200"/>
        <w:gridCol w:w="2026"/>
        <w:tblGridChange w:id="0">
          <w:tblGrid>
            <w:gridCol w:w="2800"/>
            <w:gridCol w:w="2000"/>
            <w:gridCol w:w="2200"/>
            <w:gridCol w:w="2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N° de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Média de Horas Ausentes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Diferença vs. Não-bebedor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color w:val="333333"/>
                <w:sz w:val="20"/>
                <w:szCs w:val="20"/>
                <w:rtl w:val="0"/>
              </w:rPr>
              <w:t xml:space="preserve">Social_drinker = 1 (Bebedor)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color w:val="333333"/>
                <w:sz w:val="20"/>
                <w:szCs w:val="20"/>
                <w:rtl w:val="0"/>
              </w:rPr>
              <w:t xml:space="preserve">7,68h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color w:val="333333"/>
                <w:sz w:val="20"/>
                <w:szCs w:val="20"/>
                <w:rtl w:val="0"/>
              </w:rPr>
              <w:t xml:space="preserve">+29,5%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color w:val="333333"/>
                <w:sz w:val="20"/>
                <w:szCs w:val="20"/>
                <w:rtl w:val="0"/>
              </w:rPr>
              <w:t xml:space="preserve">Social_drinker = 0 (Não-bebedor)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color w:val="333333"/>
                <w:sz w:val="20"/>
                <w:szCs w:val="20"/>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color w:val="333333"/>
                <w:sz w:val="20"/>
                <w:szCs w:val="20"/>
                <w:rtl w:val="0"/>
              </w:rPr>
              <w:t xml:space="preserve">5,93h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bl>
    <w:p w:rsidR="00000000" w:rsidDel="00000000" w:rsidP="00000000" w:rsidRDefault="00000000" w:rsidRPr="00000000" w14:paraId="00000123">
      <w:pPr>
        <w:spacing w:after="80" w:before="0" w:lineRule="auto"/>
        <w:rPr/>
      </w:pPr>
      <w:r w:rsidDel="00000000" w:rsidR="00000000" w:rsidRPr="00000000">
        <w:rPr>
          <w:rtl w:val="0"/>
        </w:rPr>
        <w:t xml:space="preserve"> </w:t>
      </w:r>
    </w:p>
    <w:p w:rsidR="00000000" w:rsidDel="00000000" w:rsidP="00000000" w:rsidRDefault="00000000" w:rsidRPr="00000000" w14:paraId="00000124">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5.2 Número de Filhos e Tempo de Ausência</w:t>
      </w:r>
      <w:r w:rsidDel="00000000" w:rsidR="00000000" w:rsidRPr="00000000">
        <w:rPr>
          <w:rtl w:val="0"/>
        </w:rPr>
      </w:r>
    </w:p>
    <w:p w:rsidR="00000000" w:rsidDel="00000000" w:rsidP="00000000" w:rsidRDefault="00000000" w:rsidRPr="00000000" w14:paraId="00000125">
      <w:pPr>
        <w:spacing w:after="120" w:before="80" w:line="276" w:lineRule="auto"/>
        <w:jc w:val="both"/>
        <w:rPr/>
      </w:pPr>
      <w:r w:rsidDel="00000000" w:rsidR="00000000" w:rsidRPr="00000000">
        <w:rPr>
          <w:rFonts w:ascii="Arial" w:cs="Arial" w:eastAsia="Arial" w:hAnsi="Arial"/>
          <w:color w:val="222222"/>
          <w:sz w:val="22"/>
          <w:szCs w:val="22"/>
          <w:rtl w:val="0"/>
        </w:rPr>
        <w:t xml:space="preserve">A relação entre o número de filhos (Son) e o tempo de ausência apresenta um dos padrões mais intuitivos e ao mesmo tempo mais impactantes da base. Colaboradores sem filhos ausentam-se, em média, </w:t>
      </w:r>
      <w:r w:rsidDel="00000000" w:rsidR="00000000" w:rsidRPr="00000000">
        <w:rPr>
          <w:rFonts w:ascii="Arial" w:cs="Arial" w:eastAsia="Arial" w:hAnsi="Arial"/>
          <w:b w:val="1"/>
          <w:bCs w:val="1"/>
          <w:color w:val="222222"/>
          <w:sz w:val="22"/>
          <w:szCs w:val="22"/>
          <w:rtl w:val="0"/>
        </w:rPr>
        <w:t xml:space="preserve">5,39 horas por evento</w:t>
      </w:r>
      <w:r w:rsidDel="00000000" w:rsidR="00000000" w:rsidRPr="00000000">
        <w:rPr>
          <w:rFonts w:ascii="Arial" w:cs="Arial" w:eastAsia="Arial" w:hAnsi="Arial"/>
          <w:color w:val="222222"/>
          <w:sz w:val="22"/>
          <w:szCs w:val="22"/>
          <w:rtl w:val="0"/>
        </w:rPr>
        <w:t xml:space="preserve">. Esse valor sobe progressivamente com o número de dependentes: com 1 filho, a média é de 6,03h; com 2 filhos, salta para </w:t>
      </w:r>
      <w:r w:rsidDel="00000000" w:rsidR="00000000" w:rsidRPr="00000000">
        <w:rPr>
          <w:rFonts w:ascii="Arial" w:cs="Arial" w:eastAsia="Arial" w:hAnsi="Arial"/>
          <w:b w:val="1"/>
          <w:bCs w:val="1"/>
          <w:color w:val="222222"/>
          <w:sz w:val="22"/>
          <w:szCs w:val="22"/>
          <w:rtl w:val="0"/>
        </w:rPr>
        <w:t xml:space="preserve">10,57h</w:t>
      </w:r>
      <w:r w:rsidDel="00000000" w:rsidR="00000000" w:rsidRPr="00000000">
        <w:rPr>
          <w:rFonts w:ascii="Arial" w:cs="Arial" w:eastAsia="Arial" w:hAnsi="Arial"/>
          <w:color w:val="222222"/>
          <w:sz w:val="22"/>
          <w:szCs w:val="22"/>
          <w:rtl w:val="0"/>
        </w:rPr>
        <w:t xml:space="preserve">; com 3 filhos, atinge 12,20h — um aumento de 126% em relação aos colaboradores sem filhos.</w:t>
      </w:r>
      <w:r w:rsidDel="00000000" w:rsidR="00000000" w:rsidRPr="00000000">
        <w:rPr>
          <w:rtl w:val="0"/>
        </w:rPr>
      </w:r>
    </w:p>
    <w:p w:rsidR="00000000" w:rsidDel="00000000" w:rsidP="00000000" w:rsidRDefault="00000000" w:rsidRPr="00000000" w14:paraId="00000126">
      <w:pPr>
        <w:spacing w:after="120" w:before="80" w:line="276" w:lineRule="auto"/>
        <w:jc w:val="both"/>
        <w:rPr/>
      </w:pPr>
      <w:r w:rsidDel="00000000" w:rsidR="00000000" w:rsidRPr="00000000">
        <w:rPr>
          <w:rFonts w:ascii="Arial" w:cs="Arial" w:eastAsia="Arial" w:hAnsi="Arial"/>
          <w:color w:val="222222"/>
          <w:sz w:val="22"/>
          <w:szCs w:val="22"/>
          <w:rtl w:val="0"/>
        </w:rPr>
        <w:t xml:space="preserve">Esse padrão reflete a realidade prática de que pais e mães com mais filhos enfrentam demandas domésticas mais intensas — consultas pediátricas, doenças dos dependentes, compromissos escolares — que frequentemente resultam em ausências mais longas ou mais frequentes. Do ponto de vista de storytelling organizacional, esse dado reforça a importância de políticas de flexibilidade de jornada, home office e benefícios voltados a famílias, como reforços de saúde infantil no plano corporativo.</w:t>
      </w:r>
      <w:r w:rsidDel="00000000" w:rsidR="00000000" w:rsidRPr="00000000">
        <w:rPr>
          <w:rtl w:val="0"/>
        </w:rPr>
      </w:r>
    </w:p>
    <w:p w:rsidR="00000000" w:rsidDel="00000000" w:rsidP="00000000" w:rsidRDefault="00000000" w:rsidRPr="00000000" w14:paraId="00000127">
      <w:pPr>
        <w:spacing w:after="80" w:before="0" w:lineRule="auto"/>
        <w:rPr/>
      </w:pPr>
      <w:r w:rsidDel="00000000" w:rsidR="00000000" w:rsidRPr="00000000">
        <w:rPr>
          <w:rtl w:val="0"/>
        </w:rPr>
        <w:t xml:space="preserve"> </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Número de Filhos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N° de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Média de Horas Ausentes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color w:val="333333"/>
                <w:sz w:val="20"/>
                <w:szCs w:val="20"/>
                <w:rtl w:val="0"/>
              </w:rPr>
              <w:t xml:space="preserve">0 filhos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color w:val="333333"/>
                <w:sz w:val="20"/>
                <w:szCs w:val="20"/>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color w:val="333333"/>
                <w:sz w:val="20"/>
                <w:szCs w:val="20"/>
                <w:rtl w:val="0"/>
              </w:rPr>
              <w:t xml:space="preserve">5,39h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color w:val="333333"/>
                <w:sz w:val="20"/>
                <w:szCs w:val="20"/>
                <w:rtl w:val="0"/>
              </w:rPr>
              <w:t xml:space="preserve">1 filho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color w:val="333333"/>
                <w:sz w:val="20"/>
                <w:szCs w:val="20"/>
                <w:rtl w:val="0"/>
              </w:rPr>
              <w:t xml:space="preserve">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color w:val="333333"/>
                <w:sz w:val="20"/>
                <w:szCs w:val="20"/>
                <w:rtl w:val="0"/>
              </w:rPr>
              <w:t xml:space="preserve">6,03h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color w:val="333333"/>
                <w:sz w:val="20"/>
                <w:szCs w:val="20"/>
                <w:rtl w:val="0"/>
              </w:rPr>
              <w:t xml:space="preserve">2 filhos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color w:val="333333"/>
                <w:sz w:val="20"/>
                <w:szCs w:val="20"/>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color w:val="333333"/>
                <w:sz w:val="20"/>
                <w:szCs w:val="20"/>
                <w:rtl w:val="0"/>
              </w:rPr>
              <w:t xml:space="preserve">10,57h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color w:val="333333"/>
                <w:sz w:val="20"/>
                <w:szCs w:val="20"/>
                <w:rtl w:val="0"/>
              </w:rPr>
              <w:t xml:space="preserve">3 filhos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color w:val="333333"/>
                <w:sz w:val="20"/>
                <w:szCs w:val="20"/>
                <w:rtl w:val="0"/>
              </w:rPr>
              <w:t xml:space="preserve">12,20h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color w:val="333333"/>
                <w:sz w:val="20"/>
                <w:szCs w:val="20"/>
                <w:rtl w:val="0"/>
              </w:rPr>
              <w:t xml:space="preserve">4 filhos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color w:val="333333"/>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color w:val="333333"/>
                <w:sz w:val="20"/>
                <w:szCs w:val="20"/>
                <w:rtl w:val="0"/>
              </w:rPr>
              <w:t xml:space="preserve">7,29h</w:t>
            </w:r>
            <w:r w:rsidDel="00000000" w:rsidR="00000000" w:rsidRPr="00000000">
              <w:rPr>
                <w:rtl w:val="0"/>
              </w:rPr>
            </w:r>
          </w:p>
        </w:tc>
      </w:tr>
    </w:tbl>
    <w:p w:rsidR="00000000" w:rsidDel="00000000" w:rsidP="00000000" w:rsidRDefault="00000000" w:rsidRPr="00000000" w14:paraId="0000013A">
      <w:pPr>
        <w:spacing w:after="80" w:before="0" w:lineRule="auto"/>
        <w:rPr/>
      </w:pPr>
      <w:r w:rsidDel="00000000" w:rsidR="00000000" w:rsidRPr="00000000">
        <w:rPr>
          <w:rtl w:val="0"/>
        </w:rPr>
        <w:t xml:space="preserve"> </w:t>
      </w:r>
    </w:p>
    <w:p w:rsidR="00000000" w:rsidDel="00000000" w:rsidP="00000000" w:rsidRDefault="00000000" w:rsidRPr="00000000" w14:paraId="0000013B">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5.3 Nível de Escolaridade e Tempo de Ausência</w:t>
      </w:r>
      <w:r w:rsidDel="00000000" w:rsidR="00000000" w:rsidRPr="00000000">
        <w:rPr>
          <w:rtl w:val="0"/>
        </w:rPr>
      </w:r>
    </w:p>
    <w:p w:rsidR="00000000" w:rsidDel="00000000" w:rsidP="00000000" w:rsidRDefault="00000000" w:rsidRPr="00000000" w14:paraId="0000013C">
      <w:pPr>
        <w:spacing w:after="120" w:before="80" w:line="276" w:lineRule="auto"/>
        <w:jc w:val="both"/>
        <w:rPr/>
      </w:pPr>
      <w:r w:rsidDel="00000000" w:rsidR="00000000" w:rsidRPr="00000000">
        <w:rPr>
          <w:rFonts w:ascii="Arial" w:cs="Arial" w:eastAsia="Arial" w:hAnsi="Arial"/>
          <w:color w:val="222222"/>
          <w:sz w:val="22"/>
          <w:szCs w:val="22"/>
          <w:rtl w:val="0"/>
        </w:rPr>
        <w:t xml:space="preserve">Observa-se uma relação inversa entre nível educacional e tempo de ausência. Colaboradores com ensino fundamental (Education = 1) apresentam a maior média de ausências (</w:t>
      </w:r>
      <w:r w:rsidDel="00000000" w:rsidR="00000000" w:rsidRPr="00000000">
        <w:rPr>
          <w:rFonts w:ascii="Arial" w:cs="Arial" w:eastAsia="Arial" w:hAnsi="Arial"/>
          <w:b w:val="1"/>
          <w:bCs w:val="1"/>
          <w:color w:val="222222"/>
          <w:sz w:val="22"/>
          <w:szCs w:val="22"/>
          <w:rtl w:val="0"/>
        </w:rPr>
        <w:t xml:space="preserve">7,19h</w:t>
      </w:r>
      <w:r w:rsidDel="00000000" w:rsidR="00000000" w:rsidRPr="00000000">
        <w:rPr>
          <w:rFonts w:ascii="Arial" w:cs="Arial" w:eastAsia="Arial" w:hAnsi="Arial"/>
          <w:color w:val="222222"/>
          <w:sz w:val="22"/>
          <w:szCs w:val="22"/>
          <w:rtl w:val="0"/>
        </w:rPr>
        <w:t xml:space="preserve">), enquanto os de nível superior (Education = 3) registram </w:t>
      </w:r>
      <w:r w:rsidDel="00000000" w:rsidR="00000000" w:rsidRPr="00000000">
        <w:rPr>
          <w:rFonts w:ascii="Arial" w:cs="Arial" w:eastAsia="Arial" w:hAnsi="Arial"/>
          <w:b w:val="1"/>
          <w:bCs w:val="1"/>
          <w:color w:val="222222"/>
          <w:sz w:val="22"/>
          <w:szCs w:val="22"/>
          <w:rtl w:val="0"/>
        </w:rPr>
        <w:t xml:space="preserve">5,27h</w:t>
      </w:r>
      <w:r w:rsidDel="00000000" w:rsidR="00000000" w:rsidRPr="00000000">
        <w:rPr>
          <w:rFonts w:ascii="Arial" w:cs="Arial" w:eastAsia="Arial" w:hAnsi="Arial"/>
          <w:color w:val="222222"/>
          <w:sz w:val="22"/>
          <w:szCs w:val="22"/>
          <w:rtl w:val="0"/>
        </w:rPr>
        <w:t xml:space="preserve"> e os de pós-graduação (Education = 4), </w:t>
      </w:r>
      <w:r w:rsidDel="00000000" w:rsidR="00000000" w:rsidRPr="00000000">
        <w:rPr>
          <w:rFonts w:ascii="Arial" w:cs="Arial" w:eastAsia="Arial" w:hAnsi="Arial"/>
          <w:b w:val="1"/>
          <w:bCs w:val="1"/>
          <w:color w:val="222222"/>
          <w:sz w:val="22"/>
          <w:szCs w:val="22"/>
          <w:rtl w:val="0"/>
        </w:rPr>
        <w:t xml:space="preserve">5,25h</w:t>
      </w:r>
      <w:r w:rsidDel="00000000" w:rsidR="00000000" w:rsidRPr="00000000">
        <w:rPr>
          <w:rFonts w:ascii="Arial" w:cs="Arial" w:eastAsia="Arial" w:hAnsi="Arial"/>
          <w:color w:val="222222"/>
          <w:sz w:val="22"/>
          <w:szCs w:val="22"/>
          <w:rtl w:val="0"/>
        </w:rPr>
        <w:t xml:space="preserve">. Embora o grupo de Education = 3 e 4 seja menor numericamente, o padrão é consistente e sugere que colaboradores com maior qualificação tendem a ocupar funções com mais autonomia e flexibilidade — o que pode facilitar a auto-gestão das ausências sem geração de registros formais — ou que possuem acesso a melhores condições de saúde.</w:t>
      </w:r>
      <w:r w:rsidDel="00000000" w:rsidR="00000000" w:rsidRPr="00000000">
        <w:rPr>
          <w:rtl w:val="0"/>
        </w:rPr>
      </w:r>
    </w:p>
    <w:p w:rsidR="00000000" w:rsidDel="00000000" w:rsidP="00000000" w:rsidRDefault="00000000" w:rsidRPr="00000000" w14:paraId="0000013D">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5.4 Comportamento por Estação do Ano</w:t>
      </w:r>
      <w:r w:rsidDel="00000000" w:rsidR="00000000" w:rsidRPr="00000000">
        <w:rPr>
          <w:rtl w:val="0"/>
        </w:rPr>
      </w:r>
    </w:p>
    <w:p w:rsidR="00000000" w:rsidDel="00000000" w:rsidP="00000000" w:rsidRDefault="00000000" w:rsidRPr="00000000" w14:paraId="0000013E">
      <w:pPr>
        <w:spacing w:after="120" w:before="80" w:line="276" w:lineRule="auto"/>
        <w:jc w:val="both"/>
        <w:rPr/>
      </w:pPr>
      <w:r w:rsidDel="00000000" w:rsidR="00000000" w:rsidRPr="00000000">
        <w:rPr>
          <w:rFonts w:ascii="Arial" w:cs="Arial" w:eastAsia="Arial" w:hAnsi="Arial"/>
          <w:color w:val="222222"/>
          <w:sz w:val="22"/>
          <w:szCs w:val="22"/>
          <w:rtl w:val="0"/>
        </w:rPr>
        <w:t xml:space="preserve">A análise sazonal mostra que o inverno (Seasons = 3) é a estação com maior média de ausências (8,15h), seguida do verão (7,30h). O outono apresenta a menor média (6,00h). Esse padrão é coerente com o senso epidemiológico: o inverno concentra maiores taxas de doenças respiratórias (gripes, resfriados, pneumonias), especialmente em bases com histórico de motivos como Reason = 13 (doenças do sistema musculoesquelético) e Reason = 19 (lesões e causas externas), que figuram entre os principais motivadores de ausências longas.</w:t>
      </w:r>
      <w:r w:rsidDel="00000000" w:rsidR="00000000" w:rsidRPr="00000000">
        <w:rPr>
          <w:rtl w:val="0"/>
        </w:rPr>
      </w:r>
    </w:p>
    <w:p w:rsidR="00000000" w:rsidDel="00000000" w:rsidP="00000000" w:rsidRDefault="00000000" w:rsidRPr="00000000" w14:paraId="0000013F">
      <w:pPr>
        <w:spacing w:after="80" w:before="0" w:lineRule="auto"/>
        <w:rPr/>
      </w:pPr>
      <w:r w:rsidDel="00000000" w:rsidR="00000000" w:rsidRPr="00000000">
        <w:rPr>
          <w:rtl w:val="0"/>
        </w:rPr>
        <w:t xml:space="preserve"> </w:t>
      </w:r>
    </w:p>
    <w:p w:rsidR="00000000" w:rsidDel="00000000" w:rsidP="00000000" w:rsidRDefault="00000000" w:rsidRPr="00000000" w14:paraId="00000140">
      <w:pPr>
        <w:pStyle w:val="Heading1"/>
        <w:pBdr>
          <w:bottom w:color="2e75b6" w:space="6"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6. Síntese e Recomendações Estratégicas</w:t>
      </w:r>
      <w:r w:rsidDel="00000000" w:rsidR="00000000" w:rsidRPr="00000000">
        <w:rPr>
          <w:rtl w:val="0"/>
        </w:rPr>
      </w:r>
    </w:p>
    <w:p w:rsidR="00000000" w:rsidDel="00000000" w:rsidP="00000000" w:rsidRDefault="00000000" w:rsidRPr="00000000" w14:paraId="00000141">
      <w:pPr>
        <w:spacing w:after="120" w:before="80" w:line="276" w:lineRule="auto"/>
        <w:jc w:val="both"/>
        <w:rPr/>
      </w:pPr>
      <w:r w:rsidDel="00000000" w:rsidR="00000000" w:rsidRPr="00000000">
        <w:rPr>
          <w:rFonts w:ascii="Arial" w:cs="Arial" w:eastAsia="Arial" w:hAnsi="Arial"/>
          <w:color w:val="222222"/>
          <w:sz w:val="22"/>
          <w:szCs w:val="22"/>
          <w:rtl w:val="0"/>
        </w:rPr>
        <w:t xml:space="preserve">A análise exploratória da base de absenteísmo revelou um conjunto de achados com implicações diretas para a gestão organizacional. A seguir, apresenta-se uma síntese dos principais pontos diagnósticos e as recomendações correspondentes.</w:t>
      </w:r>
      <w:r w:rsidDel="00000000" w:rsidR="00000000" w:rsidRPr="00000000">
        <w:rPr>
          <w:rtl w:val="0"/>
        </w:rPr>
      </w:r>
    </w:p>
    <w:p w:rsidR="00000000" w:rsidDel="00000000" w:rsidP="00000000" w:rsidRDefault="00000000" w:rsidRPr="00000000" w14:paraId="00000142">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6.1 Sobre a Qualidade dos Dados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Dado crítico: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base apresenta 34 duplicatas (4,6%) e 3 registros com mês inválido, problemas corrigíveis com baixíssima perda de informação.</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Registros ambíguos: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Os 44 registros com zero horas de ausência devem ser tratados como um grupo analítico separado, não como ruído simples.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Os outliers (&gt;17h) são eventos clinicamente distintos das ausências típicas e devem ser modelados separadamente.</w:t>
      </w:r>
      <w:r w:rsidDel="00000000" w:rsidR="00000000" w:rsidRPr="00000000">
        <w:rPr>
          <w:rtl w:val="0"/>
        </w:rPr>
      </w:r>
    </w:p>
    <w:p w:rsidR="00000000" w:rsidDel="00000000" w:rsidP="00000000" w:rsidRDefault="00000000" w:rsidRPr="00000000" w14:paraId="00000146">
      <w:pPr>
        <w:spacing w:after="80" w:before="0" w:lineRule="auto"/>
        <w:rPr/>
      </w:pPr>
      <w:r w:rsidDel="00000000" w:rsidR="00000000" w:rsidRPr="00000000">
        <w:rPr>
          <w:rtl w:val="0"/>
        </w:rPr>
        <w:t xml:space="preserve"> </w:t>
      </w:r>
    </w:p>
    <w:p w:rsidR="00000000" w:rsidDel="00000000" w:rsidP="00000000" w:rsidRDefault="00000000" w:rsidRPr="00000000" w14:paraId="00000147">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6.2 Sobre os Padrões de Absenteísmo</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Distribuição: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 absenteísmo segue uma distribuição bimodal com picos em 2–3h e 8h, sugerindo dois fenômenos distintos: saídas pontuais e afastamentos por dia inteiro.</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Fator comportamental: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Consumo social de álcool está associado a ausências 29,5% mais longas — justificando programas de saúde preventiva.</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Fator familiar: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Colaboradores com 2 ou mais filhos ausentam-se mais do dobro do tempo comparado aos sem filhos — argumento direto para políticas de flexibilidade.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Fator sazonal: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 inverno concentra os maiores índices de ausência, permitindo o planejamento antecipado de cobertura de equipe nesse período.</w:t>
      </w:r>
      <w:r w:rsidDel="00000000" w:rsidR="00000000" w:rsidRPr="00000000">
        <w:rPr>
          <w:rtl w:val="0"/>
        </w:rPr>
      </w:r>
    </w:p>
    <w:p w:rsidR="00000000" w:rsidDel="00000000" w:rsidP="00000000" w:rsidRDefault="00000000" w:rsidRPr="00000000" w14:paraId="0000014C">
      <w:pPr>
        <w:spacing w:after="80" w:before="0" w:lineRule="auto"/>
        <w:rPr/>
      </w:pPr>
      <w:r w:rsidDel="00000000" w:rsidR="00000000" w:rsidRPr="00000000">
        <w:rPr>
          <w:rtl w:val="0"/>
        </w:rPr>
        <w:t xml:space="preserve"> </w:t>
      </w:r>
    </w:p>
    <w:p w:rsidR="00000000" w:rsidDel="00000000" w:rsidP="00000000" w:rsidRDefault="00000000" w:rsidRPr="00000000" w14:paraId="0000014D">
      <w:pPr>
        <w:pStyle w:val="Heading2"/>
        <w:spacing w:after="120" w:before="280" w:lineRule="auto"/>
        <w:rPr/>
      </w:pPr>
      <w:r w:rsidDel="00000000" w:rsidR="00000000" w:rsidRPr="00000000">
        <w:rPr>
          <w:rFonts w:ascii="Arial" w:cs="Arial" w:eastAsia="Arial" w:hAnsi="Arial"/>
          <w:b w:val="1"/>
          <w:bCs w:val="1"/>
          <w:color w:val="2e75b6"/>
          <w:sz w:val="24"/>
          <w:szCs w:val="24"/>
          <w:rtl w:val="0"/>
        </w:rPr>
        <w:t xml:space="preserve">6.3 Próximos Passos</w:t>
      </w:r>
      <w:r w:rsidDel="00000000" w:rsidR="00000000" w:rsidRPr="00000000">
        <w:rPr>
          <w:rtl w:val="0"/>
        </w:rPr>
      </w:r>
    </w:p>
    <w:p w:rsidR="00000000" w:rsidDel="00000000" w:rsidP="00000000" w:rsidRDefault="00000000" w:rsidRPr="00000000" w14:paraId="0000014E">
      <w:pPr>
        <w:spacing w:after="120" w:before="80" w:line="276" w:lineRule="auto"/>
        <w:jc w:val="both"/>
        <w:rPr/>
      </w:pPr>
      <w:r w:rsidDel="00000000" w:rsidR="00000000" w:rsidRPr="00000000">
        <w:rPr>
          <w:rFonts w:ascii="Arial" w:cs="Arial" w:eastAsia="Arial" w:hAnsi="Arial"/>
          <w:color w:val="222222"/>
          <w:sz w:val="22"/>
          <w:szCs w:val="22"/>
          <w:rtl w:val="0"/>
        </w:rPr>
        <w:t xml:space="preserve">Com a base devidamente tratada, as etapas subsequentes devem incluir: (1) construção de um painel interativo com visualizações por motivo, mês e perfil demográfico; (2) modelagem preditiva para estimar probabilidade de ausência por colaborador; e (3) clusterização de perfis de colaboradores por padrão de ausência para subsidiar ações segmentadas de RH.</w:t>
      </w:r>
      <w:r w:rsidDel="00000000" w:rsidR="00000000" w:rsidRPr="00000000">
        <w:rPr>
          <w:rtl w:val="0"/>
        </w:rPr>
      </w:r>
    </w:p>
    <w:p w:rsidR="00000000" w:rsidDel="00000000" w:rsidP="00000000" w:rsidRDefault="00000000" w:rsidRPr="00000000" w14:paraId="0000014F">
      <w:pPr>
        <w:spacing w:after="80" w:before="0" w:lineRule="auto"/>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pBdr>
          <w:bottom w:color="2e75b6" w:space="6"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Referências</w:t>
      </w:r>
      <w:r w:rsidDel="00000000" w:rsidR="00000000" w:rsidRPr="00000000">
        <w:rPr>
          <w:rtl w:val="0"/>
        </w:rPr>
      </w:r>
    </w:p>
    <w:p w:rsidR="00000000" w:rsidDel="00000000" w:rsidP="00000000" w:rsidRDefault="00000000" w:rsidRPr="00000000" w14:paraId="00000152">
      <w:pPr>
        <w:spacing w:after="120" w:before="80" w:line="276" w:lineRule="auto"/>
        <w:jc w:val="both"/>
        <w:rPr/>
      </w:pPr>
      <w:r w:rsidDel="00000000" w:rsidR="00000000" w:rsidRPr="00000000">
        <w:rPr>
          <w:rFonts w:ascii="Arial" w:cs="Arial" w:eastAsia="Arial" w:hAnsi="Arial"/>
          <w:color w:val="222222"/>
          <w:sz w:val="22"/>
          <w:szCs w:val="22"/>
          <w:rtl w:val="0"/>
        </w:rPr>
        <w:t xml:space="preserve">Martiniano, A.; Ferreira, R. P.; Sassi, R. J.; Passos Affonso, R. Absenteeism at Work. UCI Machine Learning Repository, 2010. Disponível em: https://archive.ics.uci.edu/dataset/445/absenteeism+at+work</w:t>
      </w:r>
      <w:r w:rsidDel="00000000" w:rsidR="00000000" w:rsidRPr="00000000">
        <w:rPr>
          <w:rtl w:val="0"/>
        </w:rPr>
      </w:r>
    </w:p>
    <w:p w:rsidR="00000000" w:rsidDel="00000000" w:rsidP="00000000" w:rsidRDefault="00000000" w:rsidRPr="00000000" w14:paraId="00000153">
      <w:pPr>
        <w:spacing w:after="120" w:before="80" w:line="276" w:lineRule="auto"/>
        <w:jc w:val="both"/>
        <w:rPr/>
      </w:pPr>
      <w:r w:rsidDel="00000000" w:rsidR="00000000" w:rsidRPr="00000000">
        <w:rPr>
          <w:rFonts w:ascii="Arial" w:cs="Arial" w:eastAsia="Arial" w:hAnsi="Arial"/>
          <w:color w:val="222222"/>
          <w:sz w:val="22"/>
          <w:szCs w:val="22"/>
          <w:rtl w:val="0"/>
        </w:rPr>
        <w:t xml:space="preserve">Han, J.; Kamber, M.; Pei, J. Data Mining: Concepts and Techniques. 3. ed. Elsevier, 2012.</w:t>
      </w:r>
      <w:r w:rsidDel="00000000" w:rsidR="00000000" w:rsidRPr="00000000">
        <w:rPr>
          <w:rtl w:val="0"/>
        </w:rPr>
      </w:r>
    </w:p>
    <w:p w:rsidR="00000000" w:rsidDel="00000000" w:rsidP="00000000" w:rsidRDefault="00000000" w:rsidRPr="00000000" w14:paraId="00000154">
      <w:pPr>
        <w:spacing w:after="120" w:before="80" w:line="276" w:lineRule="auto"/>
        <w:jc w:val="both"/>
        <w:rPr/>
      </w:pPr>
      <w:r w:rsidDel="00000000" w:rsidR="00000000" w:rsidRPr="00000000">
        <w:rPr>
          <w:rFonts w:ascii="Arial" w:cs="Arial" w:eastAsia="Arial" w:hAnsi="Arial"/>
          <w:color w:val="222222"/>
          <w:sz w:val="22"/>
          <w:szCs w:val="22"/>
          <w:rtl w:val="0"/>
        </w:rPr>
        <w:t xml:space="preserve">McKinney, W. Python for Data Analysis. 2. ed. O'Reilly Media, 2017.</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color="2e75b6" w:space="4" w:sz="4" w:val="single"/>
      </w:pBdr>
      <w:tabs>
        <w:tab w:val="right" w:leader="none" w:pos="9026"/>
      </w:tabs>
      <w:rPr/>
    </w:pPr>
    <w:r w:rsidDel="00000000" w:rsidR="00000000" w:rsidRPr="00000000">
      <w:rPr>
        <w:rFonts w:ascii="Arial" w:cs="Arial" w:eastAsia="Arial" w:hAnsi="Arial"/>
        <w:color w:val="888888"/>
        <w:sz w:val="18"/>
        <w:szCs w:val="18"/>
        <w:rtl w:val="0"/>
      </w:rPr>
      <w:t xml:space="preserve">Curso de Ciência de Dados e Inteligência ArtificialPágina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de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Bdr>
        <w:bottom w:color="2e75b6" w:space="4" w:sz="4" w:val="single"/>
      </w:pBdr>
      <w:rPr/>
    </w:pPr>
    <w:r w:rsidDel="00000000" w:rsidR="00000000" w:rsidRPr="00000000">
      <w:rPr>
        <w:rFonts w:ascii="Arial" w:cs="Arial" w:eastAsia="Arial" w:hAnsi="Arial"/>
        <w:color w:val="888888"/>
        <w:sz w:val="18"/>
        <w:szCs w:val="18"/>
        <w:rtl w:val="0"/>
      </w:rPr>
      <w:t xml:space="preserve">Análise Exploratória de Dados e Visualização  |  Absenteísmo no Trabalho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IVTrhSig4EvncBSC3+CJF9goA==">CgMxLjAaJAoBMBIfCh0IB0IZCgVBcmlhbBIQQXJpYWwgVW5pY29kZSBNUxokCgExEh8KHQgHQhkKBUFyaWFsEhBBcmlhbCBVbmljb2RlIE1TGiQKATISHwodCAdCGQoFQXJpYWwSEEFyaWFsIFVuaWNvZGUgTVM4AHIhMTBaQ0djM0Z0WTBldTVQQlJtaExkVDZORnNDNHJUcW13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