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B26FE" w14:textId="5C6BBAFD" w:rsidR="007752F8" w:rsidRDefault="007752F8">
      <w:r>
        <w:rPr>
          <w:noProof/>
        </w:rPr>
        <w:drawing>
          <wp:inline distT="0" distB="0" distL="0" distR="0" wp14:anchorId="2BF163D6" wp14:editId="0FF9B9D2">
            <wp:extent cx="6120130" cy="1161415"/>
            <wp:effectExtent l="0" t="0" r="0" b="63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D009" w14:textId="26583878" w:rsidR="002E4C60" w:rsidRDefault="002E4C60">
      <w:r>
        <w:t xml:space="preserve">Il primo semestre dell’esercizio 2020/2021 chiude pertanto con una perdita nel risultato operativo di € 105,1 milioni, rispetto ad una perdita di € 38,1 milioni del primo semestre dell’esercizio precedente e rispetto ad un utile di € 17 milioni dell’esercizio 18/19. </w:t>
      </w:r>
    </w:p>
    <w:p w14:paraId="62439670" w14:textId="77777777" w:rsidR="007752F8" w:rsidRDefault="007752F8"/>
    <w:p w14:paraId="4FC9FD14" w14:textId="12FEC70E" w:rsidR="002E4C60" w:rsidRDefault="002E4C60"/>
    <w:p w14:paraId="53270EF2" w14:textId="52B74C0B" w:rsidR="002E4C60" w:rsidRDefault="002E4C60">
      <w:r>
        <w:rPr>
          <w:noProof/>
        </w:rPr>
        <w:drawing>
          <wp:inline distT="0" distB="0" distL="0" distR="0" wp14:anchorId="5CED2AD2" wp14:editId="07836436">
            <wp:extent cx="6120130" cy="177228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573C7" w14:textId="77777777" w:rsidR="007752F8" w:rsidRDefault="002E4C60">
      <w:r>
        <w:t>Nel dettaglio, l’incremento della perdita del primo semestre dell’esercizio 20/21 è sostanzialmente imputabile a</w:t>
      </w:r>
      <w:r w:rsidR="007752F8">
        <w:t>:</w:t>
      </w:r>
    </w:p>
    <w:p w14:paraId="61B6675F" w14:textId="4EF40A0F" w:rsidR="007752F8" w:rsidRDefault="002E4C60" w:rsidP="007752F8">
      <w:pPr>
        <w:pStyle w:val="Paragrafoelenco"/>
        <w:numPr>
          <w:ilvl w:val="0"/>
          <w:numId w:val="1"/>
        </w:numPr>
      </w:pPr>
      <w:r>
        <w:t>minori ricavi per € 64 milioni</w:t>
      </w:r>
    </w:p>
    <w:p w14:paraId="3546220F" w14:textId="0332B7B2" w:rsidR="007752F8" w:rsidRDefault="002E4C60" w:rsidP="007752F8">
      <w:pPr>
        <w:pStyle w:val="Paragrafoelenco"/>
        <w:numPr>
          <w:ilvl w:val="0"/>
          <w:numId w:val="1"/>
        </w:numPr>
      </w:pPr>
      <w:r>
        <w:t xml:space="preserve">minori proventi da gestione diritti da calciatori (€ 55 milioni) </w:t>
      </w:r>
    </w:p>
    <w:p w14:paraId="7EF18CDF" w14:textId="4BBDDDC3" w:rsidR="007752F8" w:rsidRDefault="007752F8" w:rsidP="007752F8">
      <w:pPr>
        <w:pStyle w:val="Paragrafoelenco"/>
        <w:numPr>
          <w:ilvl w:val="0"/>
          <w:numId w:val="1"/>
        </w:numPr>
      </w:pPr>
      <w:r>
        <w:t xml:space="preserve">minori </w:t>
      </w:r>
      <w:r w:rsidR="002E4C60">
        <w:t xml:space="preserve">ricavi da gare e da vendite di prodotti, licenze e altri (€ 39 milioni complessivi). </w:t>
      </w:r>
    </w:p>
    <w:p w14:paraId="767BDE6C" w14:textId="68DB8FF6" w:rsidR="007752F8" w:rsidRDefault="007752F8" w:rsidP="007752F8">
      <w:pPr>
        <w:pStyle w:val="Paragrafoelenco"/>
        <w:numPr>
          <w:ilvl w:val="1"/>
          <w:numId w:val="1"/>
        </w:numPr>
      </w:pPr>
      <w:r>
        <w:t>4,8 milioni di marketing</w:t>
      </w:r>
    </w:p>
    <w:p w14:paraId="4A2EBA51" w14:textId="41A73787" w:rsidR="007752F8" w:rsidRDefault="007752F8" w:rsidP="007752F8">
      <w:pPr>
        <w:pStyle w:val="Paragrafoelenco"/>
        <w:numPr>
          <w:ilvl w:val="1"/>
          <w:numId w:val="1"/>
        </w:numPr>
      </w:pPr>
      <w:r>
        <w:t>31,3 ricavi da gare</w:t>
      </w:r>
    </w:p>
    <w:p w14:paraId="25BF936C" w14:textId="37D38316" w:rsidR="007752F8" w:rsidRDefault="007752F8" w:rsidP="006038EA">
      <w:pPr>
        <w:pStyle w:val="Paragrafoelenco"/>
        <w:numPr>
          <w:ilvl w:val="1"/>
          <w:numId w:val="1"/>
        </w:numPr>
      </w:pPr>
      <w:r>
        <w:t>3,3 altri ricavi</w:t>
      </w:r>
    </w:p>
    <w:p w14:paraId="5F799720" w14:textId="0115F6BD" w:rsidR="007752F8" w:rsidRDefault="007752F8" w:rsidP="007752F8"/>
    <w:p w14:paraId="42A760B0" w14:textId="3A29EC61" w:rsidR="006038EA" w:rsidRDefault="006038EA" w:rsidP="007752F8">
      <w:r>
        <w:rPr>
          <w:noProof/>
        </w:rPr>
        <w:drawing>
          <wp:inline distT="0" distB="0" distL="0" distR="0" wp14:anchorId="755E08D2" wp14:editId="5AD94753">
            <wp:extent cx="6120130" cy="1310005"/>
            <wp:effectExtent l="0" t="0" r="0" b="444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CD698" w14:textId="5A05994E" w:rsidR="007752F8" w:rsidRDefault="002E4C60" w:rsidP="007752F8">
      <w:r>
        <w:t xml:space="preserve">Tali effetti negativi sono stati in parte compensati da maggiori proventi per diritti radiotelevisivi </w:t>
      </w:r>
      <w:r w:rsidR="007752F8">
        <w:t xml:space="preserve">per </w:t>
      </w:r>
      <w:r>
        <w:t>€ 27 milioni, correlati al maggior numero di partite di Campionato</w:t>
      </w:r>
      <w:r w:rsidR="006038EA">
        <w:t xml:space="preserve"> e competizioni UEFA</w:t>
      </w:r>
      <w:r>
        <w:t xml:space="preserve"> disputate nel semestre in esame</w:t>
      </w:r>
      <w:r w:rsidR="007752F8">
        <w:t>:</w:t>
      </w:r>
    </w:p>
    <w:p w14:paraId="386B84AD" w14:textId="77777777" w:rsidR="007752F8" w:rsidRDefault="007F11EB" w:rsidP="007752F8">
      <w:pPr>
        <w:pStyle w:val="Paragrafoelenco"/>
        <w:numPr>
          <w:ilvl w:val="0"/>
          <w:numId w:val="2"/>
        </w:numPr>
      </w:pPr>
      <w:r>
        <w:t>1 partita di Champions League e 5 partite di Serie A appartenenti alla stagione sportiva 19/20</w:t>
      </w:r>
    </w:p>
    <w:p w14:paraId="72BB06C2" w14:textId="12EA23F3" w:rsidR="007752F8" w:rsidRDefault="007752F8" w:rsidP="006038EA">
      <w:r>
        <w:lastRenderedPageBreak/>
        <w:t xml:space="preserve">I diritti radiotelevisivi ammontano a 145,1 milioni di Euro per tutto il semestre 20/21 composto </w:t>
      </w:r>
      <w:r w:rsidR="006038EA">
        <w:t>da un totale di 29 partite e sono ripartiti in:</w:t>
      </w:r>
    </w:p>
    <w:p w14:paraId="69ACA312" w14:textId="1171E706" w:rsidR="006038EA" w:rsidRDefault="006038EA" w:rsidP="006038EA">
      <w:pPr>
        <w:pStyle w:val="Paragrafoelenco"/>
        <w:numPr>
          <w:ilvl w:val="0"/>
          <w:numId w:val="2"/>
        </w:numPr>
      </w:pPr>
      <w:r>
        <w:t>22 partite di campionato con un ricavo di 70,734 Milioni di Euro</w:t>
      </w:r>
      <w:r w:rsidR="009E5A32">
        <w:t xml:space="preserve"> (</w:t>
      </w:r>
      <w:r w:rsidR="00B86419">
        <w:t>9 partite del 19/20)</w:t>
      </w:r>
    </w:p>
    <w:p w14:paraId="6E64138A" w14:textId="4023D62D" w:rsidR="009A7ED6" w:rsidRPr="009A7ED6" w:rsidRDefault="006038EA" w:rsidP="009A7ED6">
      <w:pPr>
        <w:pStyle w:val="Paragrafoelenco"/>
        <w:numPr>
          <w:ilvl w:val="0"/>
          <w:numId w:val="2"/>
        </w:numPr>
      </w:pPr>
      <w:r>
        <w:t>7 partite di Champions League con un ricavo di 73,493 Milioni di Euro</w:t>
      </w:r>
      <w:r w:rsidR="009E5A32">
        <w:t xml:space="preserve"> (1 partita del 19/20)</w:t>
      </w:r>
      <w:r>
        <w:br/>
      </w:r>
      <w:r w:rsidRPr="006038EA">
        <w:rPr>
          <w:color w:val="FF0000"/>
        </w:rPr>
        <w:t>Appunto superlega</w:t>
      </w:r>
    </w:p>
    <w:p w14:paraId="6C5A8DAE" w14:textId="6FDE1D59" w:rsidR="009A7ED6" w:rsidRDefault="0038545E" w:rsidP="009A7ED6">
      <w:r>
        <w:t xml:space="preserve">I diritti radiotelevisivi del semestre 19/20 ammontano a </w:t>
      </w:r>
      <w:r w:rsidR="00921048">
        <w:t>118,071 Milioni di Euro ripartiti in:</w:t>
      </w:r>
    </w:p>
    <w:p w14:paraId="3718CB61" w14:textId="7354B7C5" w:rsidR="00921048" w:rsidRDefault="00303884" w:rsidP="00921048">
      <w:pPr>
        <w:pStyle w:val="Paragrafoelenco"/>
        <w:numPr>
          <w:ilvl w:val="0"/>
          <w:numId w:val="3"/>
        </w:numPr>
      </w:pPr>
      <w:r>
        <w:t>17 partite di campionate con un ricavo di 45.453 Milioni di Euro</w:t>
      </w:r>
    </w:p>
    <w:p w14:paraId="141B0318" w14:textId="4DC746AA" w:rsidR="00D04E5C" w:rsidRDefault="00762EE7" w:rsidP="00921048">
      <w:pPr>
        <w:pStyle w:val="Paragrafoelenco"/>
        <w:numPr>
          <w:ilvl w:val="0"/>
          <w:numId w:val="3"/>
        </w:numPr>
      </w:pPr>
      <w:r>
        <w:t>6 partite di Champions League con un ricavo di</w:t>
      </w:r>
      <w:r w:rsidR="00542AA2">
        <w:t xml:space="preserve"> 72,054 Milioni di Euro</w:t>
      </w:r>
    </w:p>
    <w:p w14:paraId="70EED7B3" w14:textId="0C778520" w:rsidR="008208FF" w:rsidRDefault="008208FF" w:rsidP="008208FF"/>
    <w:p w14:paraId="603ACD2D" w14:textId="432F2E27" w:rsidR="008208FF" w:rsidRDefault="008208FF" w:rsidP="008208FF">
      <w:r>
        <w:rPr>
          <w:noProof/>
        </w:rPr>
        <w:drawing>
          <wp:inline distT="0" distB="0" distL="0" distR="0" wp14:anchorId="040A6204" wp14:editId="2FE6C416">
            <wp:extent cx="6120130" cy="1251585"/>
            <wp:effectExtent l="0" t="0" r="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70BA8" w14:textId="179027F0" w:rsidR="007752F8" w:rsidRDefault="007752F8" w:rsidP="006038EA"/>
    <w:p w14:paraId="1058E387" w14:textId="041A2D70" w:rsidR="005B5156" w:rsidRDefault="005B5156" w:rsidP="006038EA"/>
    <w:p w14:paraId="7B4DC7BF" w14:textId="0AAB8130" w:rsidR="005B5156" w:rsidRDefault="000F54A3" w:rsidP="006038EA">
      <w:r>
        <w:rPr>
          <w:noProof/>
        </w:rPr>
        <w:drawing>
          <wp:inline distT="0" distB="0" distL="0" distR="0" wp14:anchorId="0F50BA8F" wp14:editId="1B27CD07">
            <wp:extent cx="6120130" cy="61531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7B519" w14:textId="213B75CC" w:rsidR="009E617C" w:rsidRDefault="009E617C" w:rsidP="006038EA"/>
    <w:p w14:paraId="0122D460" w14:textId="38C23A07" w:rsidR="009E617C" w:rsidRDefault="00B8795D" w:rsidP="006038EA">
      <w:r>
        <w:t xml:space="preserve">Dall’analisi dei dati si riscontra che </w:t>
      </w:r>
      <w:r w:rsidR="00E643C7">
        <w:t>nel semestre 20/21 è avvenuto un aumento dei ricavi per partita relativi ai diritti radiotelevisivi della Lega di Serie A, mentre</w:t>
      </w:r>
      <w:r w:rsidR="00ED7A09">
        <w:t xml:space="preserve"> c’è stato un decremento degli stessi per quanto riguarda le competizioni UEFA al netto delle partite </w:t>
      </w:r>
      <w:r w:rsidR="00F45641">
        <w:t>non appartenenti alla stagione sportiva 20/21. L’aumento dei ricavi</w:t>
      </w:r>
      <w:r w:rsidR="00CA12FC">
        <w:t>, in buona parte,</w:t>
      </w:r>
      <w:r w:rsidR="00F45641">
        <w:t xml:space="preserve"> è dovuto ad una rinegozi</w:t>
      </w:r>
      <w:r w:rsidR="00CA12FC">
        <w:t>azione del contratto dei diritti televisivi</w:t>
      </w:r>
    </w:p>
    <w:p w14:paraId="2E0B5720" w14:textId="77777777" w:rsidR="005B5156" w:rsidRDefault="005B5156" w:rsidP="006038EA"/>
    <w:p w14:paraId="2FB2038F" w14:textId="6B9D5829" w:rsidR="007752F8" w:rsidRDefault="002E4C60">
      <w:r>
        <w:t xml:space="preserve"> Nell’ambito dei ricavi, si segnala inoltre il positivo andamento - stante il difficile contesto - dei ricavi da sponsorizzazioni e pubblicità (in leggero incremento rispetto all’esercizio precedente), nonché il costante aumento dei ricavi dell’e-commerce (in incremento del 60%), che in parte compensa l’inevitabile calo dei ricavi tramite canale dei negozi fisici.</w:t>
      </w:r>
    </w:p>
    <w:sectPr w:rsidR="007752F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BE78F" w14:textId="77777777" w:rsidR="00A338E7" w:rsidRDefault="00A338E7" w:rsidP="009C1175">
      <w:pPr>
        <w:spacing w:after="0" w:line="240" w:lineRule="auto"/>
      </w:pPr>
      <w:r>
        <w:separator/>
      </w:r>
    </w:p>
  </w:endnote>
  <w:endnote w:type="continuationSeparator" w:id="0">
    <w:p w14:paraId="099FC491" w14:textId="77777777" w:rsidR="00A338E7" w:rsidRDefault="00A338E7" w:rsidP="009C1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4143F" w14:textId="77777777" w:rsidR="00A338E7" w:rsidRDefault="00A338E7" w:rsidP="009C1175">
      <w:pPr>
        <w:spacing w:after="0" w:line="240" w:lineRule="auto"/>
      </w:pPr>
      <w:r>
        <w:separator/>
      </w:r>
    </w:p>
  </w:footnote>
  <w:footnote w:type="continuationSeparator" w:id="0">
    <w:p w14:paraId="3F416436" w14:textId="77777777" w:rsidR="00A338E7" w:rsidRDefault="00A338E7" w:rsidP="009C11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36793"/>
    <w:multiLevelType w:val="hybridMultilevel"/>
    <w:tmpl w:val="7590AAEC"/>
    <w:lvl w:ilvl="0" w:tplc="0410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5C200839"/>
    <w:multiLevelType w:val="hybridMultilevel"/>
    <w:tmpl w:val="94A28C7C"/>
    <w:lvl w:ilvl="0" w:tplc="0410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2" w15:restartNumberingAfterBreak="0">
    <w:nsid w:val="5C4C0981"/>
    <w:multiLevelType w:val="hybridMultilevel"/>
    <w:tmpl w:val="8404EEDE"/>
    <w:lvl w:ilvl="0" w:tplc="0410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C60"/>
    <w:rsid w:val="000F54A3"/>
    <w:rsid w:val="00243666"/>
    <w:rsid w:val="002E4C60"/>
    <w:rsid w:val="00303884"/>
    <w:rsid w:val="0038545E"/>
    <w:rsid w:val="00542AA2"/>
    <w:rsid w:val="005B5156"/>
    <w:rsid w:val="006038EA"/>
    <w:rsid w:val="00762EE7"/>
    <w:rsid w:val="007752F8"/>
    <w:rsid w:val="007F11EB"/>
    <w:rsid w:val="008208FF"/>
    <w:rsid w:val="008F5BAF"/>
    <w:rsid w:val="00921048"/>
    <w:rsid w:val="009A7ED6"/>
    <w:rsid w:val="009C1175"/>
    <w:rsid w:val="009E5A32"/>
    <w:rsid w:val="009E617C"/>
    <w:rsid w:val="00A338E7"/>
    <w:rsid w:val="00AC1853"/>
    <w:rsid w:val="00B07123"/>
    <w:rsid w:val="00B86419"/>
    <w:rsid w:val="00B8795D"/>
    <w:rsid w:val="00CA12FC"/>
    <w:rsid w:val="00D04E5C"/>
    <w:rsid w:val="00E643C7"/>
    <w:rsid w:val="00ED7A09"/>
    <w:rsid w:val="00F4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8B5C4"/>
  <w15:chartTrackingRefBased/>
  <w15:docId w15:val="{34FFCED8-EEFD-44ED-9B15-8603AAA89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752F8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6038EA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038EA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038EA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038EA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038EA"/>
    <w:rPr>
      <w:b/>
      <w:bCs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rsid w:val="009C11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C1175"/>
  </w:style>
  <w:style w:type="paragraph" w:styleId="Pidipagina">
    <w:name w:val="footer"/>
    <w:basedOn w:val="Normale"/>
    <w:link w:val="PidipaginaCarattere"/>
    <w:uiPriority w:val="99"/>
    <w:unhideWhenUsed/>
    <w:rsid w:val="009C11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C1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 Stefano Gozzo</dc:creator>
  <cp:keywords/>
  <dc:description/>
  <cp:lastModifiedBy>Vito Stefano Gozzo</cp:lastModifiedBy>
  <cp:revision>24</cp:revision>
  <dcterms:created xsi:type="dcterms:W3CDTF">2021-05-17T16:39:00Z</dcterms:created>
  <dcterms:modified xsi:type="dcterms:W3CDTF">2021-05-17T18:02:00Z</dcterms:modified>
</cp:coreProperties>
</file>