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5F3" w:rsidRDefault="003655F3" w:rsidP="003655F3">
      <w:pPr>
        <w:ind w:left="-567" w:right="-567"/>
        <w:jc w:val="both"/>
        <w:rPr>
          <w:rFonts w:cs="Times New Roman"/>
          <w:sz w:val="24"/>
          <w:szCs w:val="24"/>
        </w:rPr>
      </w:pPr>
      <w:r>
        <w:rPr>
          <w:rFonts w:cs="Times New Roman"/>
          <w:b/>
          <w:sz w:val="24"/>
          <w:szCs w:val="24"/>
        </w:rPr>
        <w:t>Jaroslav Seifert – Na vlnách TSF</w:t>
      </w:r>
      <w:r>
        <w:rPr>
          <w:rFonts w:cs="Times New Roman"/>
          <w:sz w:val="24"/>
          <w:szCs w:val="24"/>
        </w:rPr>
        <w:t xml:space="preserve"> (1925)</w:t>
      </w:r>
    </w:p>
    <w:p w:rsidR="003655F3" w:rsidRPr="003655F3" w:rsidRDefault="003655F3" w:rsidP="003655F3">
      <w:pPr>
        <w:pStyle w:val="Odstavecseseznamem"/>
        <w:numPr>
          <w:ilvl w:val="0"/>
          <w:numId w:val="2"/>
        </w:numPr>
        <w:ind w:right="-567"/>
        <w:jc w:val="both"/>
        <w:rPr>
          <w:rFonts w:cs="Times New Roman"/>
          <w:sz w:val="24"/>
          <w:szCs w:val="24"/>
        </w:rPr>
      </w:pPr>
      <w:r>
        <w:rPr>
          <w:rFonts w:cs="Times New Roman"/>
        </w:rPr>
        <w:t xml:space="preserve">sbírka vydána pod záštitou Devětsilu </w:t>
      </w:r>
    </w:p>
    <w:p w:rsidR="003655F3" w:rsidRPr="003655F3" w:rsidRDefault="003655F3" w:rsidP="003655F3">
      <w:pPr>
        <w:pStyle w:val="Odstavecseseznamem"/>
        <w:numPr>
          <w:ilvl w:val="0"/>
          <w:numId w:val="2"/>
        </w:numPr>
        <w:ind w:right="-567"/>
        <w:jc w:val="both"/>
        <w:rPr>
          <w:rFonts w:cs="Times New Roman"/>
          <w:sz w:val="24"/>
          <w:szCs w:val="24"/>
        </w:rPr>
      </w:pPr>
      <w:r>
        <w:rPr>
          <w:rFonts w:cs="Times New Roman"/>
        </w:rPr>
        <w:t xml:space="preserve">K. </w:t>
      </w:r>
      <w:proofErr w:type="spellStart"/>
      <w:r>
        <w:rPr>
          <w:rFonts w:cs="Times New Roman"/>
        </w:rPr>
        <w:t>Teige</w:t>
      </w:r>
      <w:proofErr w:type="spellEnd"/>
      <w:r>
        <w:rPr>
          <w:rFonts w:cs="Times New Roman"/>
        </w:rPr>
        <w:t xml:space="preserve"> – typografická úprava – soubor typografických básní </w:t>
      </w:r>
    </w:p>
    <w:p w:rsidR="003655F3" w:rsidRPr="003655F3" w:rsidRDefault="003655F3" w:rsidP="003655F3">
      <w:pPr>
        <w:pStyle w:val="Odstavecseseznamem"/>
        <w:numPr>
          <w:ilvl w:val="0"/>
          <w:numId w:val="2"/>
        </w:numPr>
        <w:ind w:right="-567"/>
        <w:jc w:val="both"/>
        <w:rPr>
          <w:rFonts w:cs="Times New Roman"/>
          <w:sz w:val="24"/>
          <w:szCs w:val="24"/>
        </w:rPr>
      </w:pPr>
      <w:r>
        <w:rPr>
          <w:rFonts w:cs="Times New Roman"/>
        </w:rPr>
        <w:t>sbírka rozdělena do 2 oddílů Svatební cesta a Zmrzlé ananasy a jiné lyrické anekdoty – první oddíl je nazvaný podle úvodní básně a je inspirován cestou do Francie a Itálie</w:t>
      </w:r>
    </w:p>
    <w:p w:rsidR="003655F3" w:rsidRPr="003655F3" w:rsidRDefault="003655F3" w:rsidP="003655F3">
      <w:pPr>
        <w:pStyle w:val="Odstavecseseznamem"/>
        <w:numPr>
          <w:ilvl w:val="0"/>
          <w:numId w:val="2"/>
        </w:numPr>
        <w:ind w:right="-567"/>
        <w:jc w:val="both"/>
        <w:rPr>
          <w:rFonts w:cs="Times New Roman"/>
          <w:sz w:val="24"/>
          <w:szCs w:val="24"/>
        </w:rPr>
      </w:pPr>
      <w:r>
        <w:rPr>
          <w:rFonts w:cs="Times New Roman"/>
        </w:rPr>
        <w:t>v 2. oddílů se nachází v pestrém sledu a tiskové úpravě různorodé básně příznačných poetických okruhů 20. let (např. kavárny, cirkus, cestování, především láska a cíle svatebních cest)</w:t>
      </w:r>
    </w:p>
    <w:p w:rsidR="003655F3" w:rsidRDefault="003655F3" w:rsidP="003655F3">
      <w:pPr>
        <w:ind w:left="-567" w:right="-567"/>
        <w:jc w:val="both"/>
        <w:rPr>
          <w:rFonts w:cs="Times New Roman"/>
        </w:rPr>
      </w:pPr>
      <w:r w:rsidRPr="003655F3">
        <w:rPr>
          <w:rFonts w:cs="Times New Roman"/>
        </w:rPr>
        <w:t>Básně jsou lehké, žertovné, plné poetické hravosti. Seifert píše o vážných věcech, ale s nadhledem a nadsázkou, jeho pocity nejsou teatrální a kýčovitě zveličené, ale realistické a uvěřitelné. Motivy v nás vyvolávají pocity exotiky a dálky (např. cizokrajné ovoce, parníky, dálkové vlaky apod.). Seifert využil metody volné asociace, kdy spojil jednotlivé představy a verše pouze na základě svých pocitů a myšlenkových procesů.</w:t>
      </w:r>
    </w:p>
    <w:p w:rsidR="003655F3" w:rsidRDefault="003655F3" w:rsidP="00F63F75">
      <w:pPr>
        <w:ind w:right="-567"/>
        <w:jc w:val="both"/>
        <w:rPr>
          <w:rFonts w:cs="Times New Roman"/>
        </w:rPr>
      </w:pPr>
    </w:p>
    <w:p w:rsidR="003655F3" w:rsidRDefault="003655F3" w:rsidP="003655F3">
      <w:pPr>
        <w:ind w:left="-567" w:right="-567"/>
        <w:jc w:val="both"/>
        <w:rPr>
          <w:rFonts w:cs="Times New Roman"/>
          <w:sz w:val="24"/>
          <w:szCs w:val="24"/>
        </w:rPr>
      </w:pPr>
      <w:r>
        <w:rPr>
          <w:rFonts w:cs="Times New Roman"/>
          <w:b/>
          <w:sz w:val="24"/>
          <w:szCs w:val="24"/>
        </w:rPr>
        <w:t xml:space="preserve">Vítězslav Nezval – Absolutní hrobař </w:t>
      </w:r>
      <w:r>
        <w:rPr>
          <w:rFonts w:cs="Times New Roman"/>
          <w:sz w:val="24"/>
          <w:szCs w:val="24"/>
        </w:rPr>
        <w:t>(1937)</w:t>
      </w:r>
    </w:p>
    <w:p w:rsidR="00F63F75" w:rsidRDefault="00F63F75" w:rsidP="00F63F75">
      <w:pPr>
        <w:pStyle w:val="Odstavecseseznamem"/>
        <w:numPr>
          <w:ilvl w:val="0"/>
          <w:numId w:val="2"/>
        </w:numPr>
        <w:ind w:right="-567"/>
        <w:jc w:val="both"/>
        <w:rPr>
          <w:rFonts w:cs="Times New Roman"/>
          <w:sz w:val="24"/>
          <w:szCs w:val="24"/>
        </w:rPr>
      </w:pPr>
      <w:r>
        <w:t>A</w:t>
      </w:r>
      <w:r w:rsidR="003655F3" w:rsidRPr="006B1BFC">
        <w:t>bsolutní hrobař byl pokusem o jiné napl</w:t>
      </w:r>
      <w:r>
        <w:t xml:space="preserve">nění surrealistického programu. </w:t>
      </w:r>
      <w:r w:rsidR="003655F3" w:rsidRPr="006B1BFC">
        <w:t xml:space="preserve">V návaznosti na program A. Bretona dochází ke sbližování básnického a výtvarného umění – inspirace Salvadorem </w:t>
      </w:r>
      <w:proofErr w:type="spellStart"/>
      <w:r w:rsidR="003655F3" w:rsidRPr="006B1BFC">
        <w:t>Dalím</w:t>
      </w:r>
      <w:proofErr w:type="spellEnd"/>
      <w:r w:rsidR="003655F3" w:rsidRPr="006B1BFC">
        <w:t xml:space="preserve"> je více než patrná. </w:t>
      </w:r>
    </w:p>
    <w:p w:rsidR="00F63F75" w:rsidRPr="00F63F75" w:rsidRDefault="003655F3" w:rsidP="00F63F75">
      <w:pPr>
        <w:pStyle w:val="Odstavecseseznamem"/>
        <w:numPr>
          <w:ilvl w:val="0"/>
          <w:numId w:val="2"/>
        </w:numPr>
        <w:ind w:right="-567"/>
        <w:jc w:val="both"/>
        <w:rPr>
          <w:rFonts w:cs="Times New Roman"/>
          <w:sz w:val="24"/>
          <w:szCs w:val="24"/>
        </w:rPr>
      </w:pPr>
      <w:r w:rsidRPr="006B1BFC">
        <w:t xml:space="preserve">Základním básnickým výrazem se stává popis – popis je skutečně místy až puntičkářsky přesný, vzápětí ale splývá s jakousi snovou vizí, celý náhled se jeví jako fantazmagorie, přízrak. </w:t>
      </w:r>
    </w:p>
    <w:p w:rsidR="00F63F75" w:rsidRPr="00F63F75" w:rsidRDefault="00F63F75" w:rsidP="00F63F75">
      <w:pPr>
        <w:pStyle w:val="Odstavecseseznamem"/>
        <w:ind w:left="-207" w:right="-567"/>
        <w:jc w:val="both"/>
        <w:rPr>
          <w:rFonts w:cs="Times New Roman"/>
          <w:sz w:val="24"/>
          <w:szCs w:val="24"/>
        </w:rPr>
      </w:pPr>
    </w:p>
    <w:p w:rsidR="00F63F75" w:rsidRPr="00F63F75" w:rsidRDefault="003655F3" w:rsidP="00F63F75">
      <w:pPr>
        <w:pStyle w:val="Odstavecseseznamem"/>
        <w:numPr>
          <w:ilvl w:val="0"/>
          <w:numId w:val="2"/>
        </w:numPr>
        <w:ind w:right="-567"/>
        <w:jc w:val="both"/>
        <w:rPr>
          <w:rFonts w:cs="Times New Roman"/>
          <w:sz w:val="24"/>
          <w:szCs w:val="24"/>
        </w:rPr>
      </w:pPr>
      <w:r w:rsidRPr="00F63F75">
        <w:rPr>
          <w:u w:val="single"/>
        </w:rPr>
        <w:t>oddíl – Absolutní hrobař</w:t>
      </w:r>
      <w:r w:rsidRPr="006B1BFC">
        <w:t xml:space="preserve"> v sobě zahrnuje pět rozsáhlých fantastických snivých portrétů. Stejnojmenná úvodní báseň, která také dává název celé sbírce, poukazuje především na rozklad společnosti, prohnilost lidstva a ironický pohled na jeho „velkou“ budoucnost. Oproti tomu stojí portréty „reálných lidí“, obyčejných profesí, převážně z venkova – Kovář, Oráč. Jejich každodenní práce se mění v symbolické ztvárnění – kovář značí vzpouru jedince, oráč plody a úrodu.</w:t>
      </w:r>
    </w:p>
    <w:p w:rsidR="00F63F75" w:rsidRPr="00F63F75" w:rsidRDefault="003655F3" w:rsidP="00F63F75">
      <w:pPr>
        <w:pStyle w:val="Odstavecseseznamem"/>
        <w:numPr>
          <w:ilvl w:val="0"/>
          <w:numId w:val="2"/>
        </w:numPr>
        <w:ind w:right="-567"/>
        <w:jc w:val="both"/>
        <w:rPr>
          <w:rFonts w:cs="Times New Roman"/>
          <w:sz w:val="24"/>
          <w:szCs w:val="24"/>
        </w:rPr>
      </w:pPr>
      <w:r w:rsidRPr="00F63F75">
        <w:rPr>
          <w:u w:val="single"/>
        </w:rPr>
        <w:t>Oddíl Stínohry</w:t>
      </w:r>
      <w:r w:rsidRPr="006B1BFC">
        <w:t xml:space="preserve"> zachycuje podobiznu obyčejných všedních předmětů – Sud, Mucholapka, Cívka. V básni můžeme pozorovat jasnou popisnost, málo obrazných přirovnání a metafor, jazyk je jasný a statický, vychází pouze z prokreslení situace. Pravidelné členění do strof i veršová jednotvárnost – </w:t>
      </w:r>
      <w:proofErr w:type="spellStart"/>
      <w:r w:rsidRPr="006B1BFC">
        <w:t>abab</w:t>
      </w:r>
      <w:proofErr w:type="spellEnd"/>
      <w:r w:rsidRPr="006B1BFC">
        <w:t xml:space="preserve"> dávají básni dojem formální stručnosti a jasnosti. </w:t>
      </w:r>
    </w:p>
    <w:p w:rsidR="00F63F75" w:rsidRPr="00F63F75" w:rsidRDefault="003655F3" w:rsidP="00F63F75">
      <w:pPr>
        <w:pStyle w:val="Odstavecseseznamem"/>
        <w:numPr>
          <w:ilvl w:val="0"/>
          <w:numId w:val="2"/>
        </w:numPr>
        <w:ind w:right="-567"/>
        <w:jc w:val="both"/>
        <w:rPr>
          <w:rFonts w:cs="Times New Roman"/>
          <w:sz w:val="24"/>
          <w:szCs w:val="24"/>
        </w:rPr>
      </w:pPr>
      <w:r w:rsidRPr="00F63F75">
        <w:rPr>
          <w:u w:val="single"/>
        </w:rPr>
        <w:t>Oddíl Bizarní městečko</w:t>
      </w:r>
      <w:r w:rsidRPr="006B1BFC">
        <w:t xml:space="preserve"> se skládá z mnoha částí, označených pouze čísly 1 - 42, nikoliv jmennými titulky. Ačkoli se jedná opět především o věcné popisy, jejichž vztah výraz - věc je více zatemněný.</w:t>
      </w:r>
    </w:p>
    <w:p w:rsidR="00F63F75" w:rsidRPr="00F63F75" w:rsidRDefault="003655F3" w:rsidP="00F63F75">
      <w:pPr>
        <w:pStyle w:val="Odstavecseseznamem"/>
        <w:numPr>
          <w:ilvl w:val="0"/>
          <w:numId w:val="2"/>
        </w:numPr>
        <w:ind w:right="-567"/>
        <w:jc w:val="both"/>
        <w:rPr>
          <w:rFonts w:cs="Times New Roman"/>
          <w:sz w:val="24"/>
          <w:szCs w:val="24"/>
        </w:rPr>
      </w:pPr>
      <w:r w:rsidRPr="00F63F75">
        <w:rPr>
          <w:u w:val="single"/>
        </w:rPr>
        <w:t>Oddíl Dekalkomanie</w:t>
      </w:r>
      <w:r w:rsidRPr="006B1BFC">
        <w:t xml:space="preserve"> je </w:t>
      </w:r>
      <w:proofErr w:type="spellStart"/>
      <w:r w:rsidRPr="006B1BFC">
        <w:t>uvozený</w:t>
      </w:r>
      <w:proofErr w:type="spellEnd"/>
      <w:r w:rsidRPr="006B1BFC">
        <w:t xml:space="preserve"> významným esejem, pojednávajícím o genezi celé sbírky a určujícím základní body estetiky nového programu. Měl by se opírat o věrné a přesné ztvárnění byť třeba umělé skutečnosti. Čtenář má být unášen předmětnými asociacemi, které jsou vyvolávány básníkovými abstraktními obrazy, takzvanými „dekalky“, které vznikají rozemnutím kvašové kaňky mezi dvěma listy papíru, jimi je kniha ilustrována.</w:t>
      </w:r>
    </w:p>
    <w:p w:rsidR="003655F3" w:rsidRPr="00F63F75" w:rsidRDefault="003655F3" w:rsidP="00F63F75">
      <w:pPr>
        <w:pStyle w:val="Odstavecseseznamem"/>
        <w:numPr>
          <w:ilvl w:val="0"/>
          <w:numId w:val="2"/>
        </w:numPr>
        <w:ind w:right="-567"/>
        <w:jc w:val="both"/>
        <w:rPr>
          <w:rFonts w:cs="Times New Roman"/>
          <w:sz w:val="24"/>
          <w:szCs w:val="24"/>
        </w:rPr>
      </w:pPr>
      <w:r w:rsidRPr="006B1BFC">
        <w:t xml:space="preserve">Poslední básní sbírky je polytematická skladba Pyrenejská moucha, vidíme zde náznaky fašistického nebezpečí, hrůzu z apokalyptického vidění světa a varování. To vše bylo vyvoláno bezprostřední situací v Evropě – ohlasem španělské občanské války. Ponurá znamení a chmurné vize ostatně prostupují celou básnickou sbírkou. </w:t>
      </w:r>
    </w:p>
    <w:p w:rsidR="00F63F75" w:rsidRPr="00F63F75" w:rsidRDefault="00F63F75" w:rsidP="00F63F75">
      <w:pPr>
        <w:pStyle w:val="Odstavecseseznamem"/>
        <w:ind w:left="-207" w:right="-567"/>
        <w:jc w:val="both"/>
        <w:rPr>
          <w:rFonts w:cs="Times New Roman"/>
          <w:sz w:val="24"/>
          <w:szCs w:val="24"/>
        </w:rPr>
      </w:pPr>
    </w:p>
    <w:p w:rsidR="00F63F75" w:rsidRDefault="00F63F75" w:rsidP="00F63F75">
      <w:pPr>
        <w:ind w:left="-567" w:right="-567"/>
        <w:jc w:val="both"/>
        <w:rPr>
          <w:rFonts w:cs="Times New Roman"/>
          <w:sz w:val="24"/>
          <w:szCs w:val="24"/>
        </w:rPr>
      </w:pPr>
      <w:r>
        <w:rPr>
          <w:rFonts w:cs="Times New Roman"/>
          <w:b/>
          <w:sz w:val="24"/>
          <w:szCs w:val="24"/>
        </w:rPr>
        <w:t xml:space="preserve">František </w:t>
      </w:r>
      <w:proofErr w:type="spellStart"/>
      <w:r>
        <w:rPr>
          <w:rFonts w:cs="Times New Roman"/>
          <w:b/>
          <w:sz w:val="24"/>
          <w:szCs w:val="24"/>
        </w:rPr>
        <w:t>Hrubín</w:t>
      </w:r>
      <w:proofErr w:type="spellEnd"/>
      <w:r>
        <w:rPr>
          <w:rFonts w:cs="Times New Roman"/>
          <w:b/>
          <w:sz w:val="24"/>
          <w:szCs w:val="24"/>
        </w:rPr>
        <w:t xml:space="preserve"> – Srpnová neděle </w:t>
      </w:r>
      <w:r>
        <w:rPr>
          <w:rFonts w:cs="Times New Roman"/>
          <w:sz w:val="24"/>
          <w:szCs w:val="24"/>
        </w:rPr>
        <w:t>(1958)</w:t>
      </w:r>
    </w:p>
    <w:p w:rsidR="00F63F75" w:rsidRPr="00F63F75" w:rsidRDefault="00F63F75" w:rsidP="00F63F75">
      <w:pPr>
        <w:pStyle w:val="Odstavecseseznamem"/>
        <w:numPr>
          <w:ilvl w:val="0"/>
          <w:numId w:val="2"/>
        </w:numPr>
        <w:ind w:right="-567"/>
        <w:jc w:val="both"/>
        <w:rPr>
          <w:rFonts w:cs="Times New Roman"/>
          <w:sz w:val="24"/>
          <w:szCs w:val="24"/>
        </w:rPr>
      </w:pPr>
      <w:r>
        <w:rPr>
          <w:rFonts w:cs="Times New Roman"/>
        </w:rPr>
        <w:t xml:space="preserve">premiéra 25. dubna 1958 v Národním divadle v Praze – nadšení ze strany obecenstva </w:t>
      </w:r>
    </w:p>
    <w:p w:rsidR="00F63F75" w:rsidRPr="00F63F75" w:rsidRDefault="00F63F75" w:rsidP="00F63F75">
      <w:pPr>
        <w:pStyle w:val="Odstavecseseznamem"/>
        <w:numPr>
          <w:ilvl w:val="0"/>
          <w:numId w:val="2"/>
        </w:numPr>
        <w:ind w:right="-567"/>
        <w:jc w:val="both"/>
        <w:rPr>
          <w:rFonts w:cs="Times New Roman"/>
          <w:sz w:val="24"/>
          <w:szCs w:val="24"/>
        </w:rPr>
      </w:pPr>
      <w:r>
        <w:rPr>
          <w:rFonts w:cs="Times New Roman"/>
        </w:rPr>
        <w:t xml:space="preserve">filmová premiéra 1961 – režisér Otakar Vávra – hl. role Karel </w:t>
      </w:r>
      <w:proofErr w:type="spellStart"/>
      <w:r>
        <w:rPr>
          <w:rFonts w:cs="Times New Roman"/>
        </w:rPr>
        <w:t>Höger</w:t>
      </w:r>
      <w:proofErr w:type="spellEnd"/>
      <w:r>
        <w:rPr>
          <w:rFonts w:cs="Times New Roman"/>
        </w:rPr>
        <w:t xml:space="preserve"> </w:t>
      </w:r>
    </w:p>
    <w:p w:rsidR="00F63F75" w:rsidRPr="00F63F75" w:rsidRDefault="00F63F75" w:rsidP="00F63F75">
      <w:pPr>
        <w:pStyle w:val="Odstavecseseznamem"/>
        <w:numPr>
          <w:ilvl w:val="0"/>
          <w:numId w:val="2"/>
        </w:numPr>
        <w:ind w:right="-567"/>
        <w:jc w:val="both"/>
        <w:rPr>
          <w:rFonts w:cs="Times New Roman"/>
          <w:sz w:val="24"/>
          <w:szCs w:val="24"/>
        </w:rPr>
      </w:pPr>
      <w:r>
        <w:rPr>
          <w:rFonts w:cs="Times New Roman"/>
        </w:rPr>
        <w:t xml:space="preserve">konflikt mládí a stáří, života a smrti </w:t>
      </w:r>
    </w:p>
    <w:p w:rsidR="00F63F75" w:rsidRPr="00F63F75" w:rsidRDefault="00F63F75" w:rsidP="00F63F75">
      <w:pPr>
        <w:pStyle w:val="Odstavecseseznamem"/>
        <w:numPr>
          <w:ilvl w:val="0"/>
          <w:numId w:val="2"/>
        </w:numPr>
        <w:ind w:right="-567"/>
        <w:jc w:val="both"/>
        <w:rPr>
          <w:rFonts w:cs="Times New Roman"/>
          <w:sz w:val="24"/>
          <w:szCs w:val="24"/>
        </w:rPr>
      </w:pPr>
      <w:r>
        <w:rPr>
          <w:rFonts w:cs="Times New Roman"/>
        </w:rPr>
        <w:t xml:space="preserve">lyrický tón v podobě vln jihočeských rybníků a hlas přiléhající vody </w:t>
      </w:r>
    </w:p>
    <w:p w:rsidR="00F63F75" w:rsidRPr="00F63F75" w:rsidRDefault="00F63F75" w:rsidP="00F63F75">
      <w:pPr>
        <w:pStyle w:val="Odstavecseseznamem"/>
        <w:numPr>
          <w:ilvl w:val="0"/>
          <w:numId w:val="2"/>
        </w:numPr>
        <w:ind w:right="-567"/>
        <w:jc w:val="both"/>
        <w:rPr>
          <w:rFonts w:cs="Times New Roman"/>
          <w:sz w:val="24"/>
          <w:szCs w:val="24"/>
        </w:rPr>
      </w:pPr>
      <w:r>
        <w:rPr>
          <w:rFonts w:cs="Times New Roman"/>
        </w:rPr>
        <w:t xml:space="preserve">příběh se odehrává ve dvou horkých dnes v malé jihočeské vsi, na břehu malého rybníka se scházejí lidé </w:t>
      </w:r>
    </w:p>
    <w:p w:rsidR="00F63F75" w:rsidRDefault="00F63F75" w:rsidP="00F63F75">
      <w:pPr>
        <w:ind w:left="-567" w:right="-567"/>
        <w:jc w:val="both"/>
        <w:rPr>
          <w:rFonts w:cs="Times New Roman"/>
          <w:u w:val="single"/>
        </w:rPr>
      </w:pPr>
      <w:r>
        <w:rPr>
          <w:rFonts w:cs="Times New Roman"/>
          <w:u w:val="single"/>
        </w:rPr>
        <w:lastRenderedPageBreak/>
        <w:t>OBSAH:</w:t>
      </w:r>
    </w:p>
    <w:p w:rsidR="00F63F75" w:rsidRPr="00F63F75" w:rsidRDefault="00F63F75" w:rsidP="00F63F75">
      <w:pPr>
        <w:ind w:left="-567" w:right="-567"/>
        <w:jc w:val="both"/>
        <w:rPr>
          <w:rFonts w:cs="Times New Roman"/>
          <w:u w:val="single"/>
        </w:rPr>
      </w:pPr>
      <w:r w:rsidRPr="00F63F75">
        <w:t xml:space="preserve">Děj se odehrává během jednoho dne, od rána do půlnoci u jihočeského rybníka. V srpnovém nedělním odpoledni zde vládne na první pohled pohoda a klid. K třeboňskému rybníku Hejtman přijíždí rekreanti z Prahy. Postupně se v knize odkrývají příběhy postav. Poštmistra z Písečné, který s několika lidmi věší lampióny na večerní zábavu, sledují manželé </w:t>
      </w:r>
      <w:proofErr w:type="spellStart"/>
      <w:r w:rsidRPr="00F63F75">
        <w:t>Vachovi</w:t>
      </w:r>
      <w:proofErr w:type="spellEnd"/>
      <w:r w:rsidRPr="00F63F75">
        <w:t xml:space="preserve">. </w:t>
      </w:r>
      <w:proofErr w:type="spellStart"/>
      <w:r w:rsidRPr="00F63F75">
        <w:t>Vachovi</w:t>
      </w:r>
      <w:proofErr w:type="spellEnd"/>
      <w:r w:rsidRPr="00F63F75">
        <w:t xml:space="preserve"> přišli o živnost, o velké cukrářství, a proto taky nesouhlasí s tehdejší dobou. Každý se baví o svém a spíše pomlouvají okolí. Paní </w:t>
      </w:r>
      <w:proofErr w:type="spellStart"/>
      <w:r w:rsidRPr="00F63F75">
        <w:t>Vachová</w:t>
      </w:r>
      <w:proofErr w:type="spellEnd"/>
      <w:r w:rsidRPr="00F63F75">
        <w:t xml:space="preserve"> žárlí na paní Mixovou, stále přitažlivou dámou. Pan Mixa stále pracuje, a tak paní Mixovou těší, že se líbí ctitelům, v poslední době redaktorovi </w:t>
      </w:r>
      <w:proofErr w:type="spellStart"/>
      <w:r w:rsidRPr="00F63F75">
        <w:t>Morákovi</w:t>
      </w:r>
      <w:proofErr w:type="spellEnd"/>
      <w:r w:rsidRPr="00F63F75">
        <w:t xml:space="preserve">. Paní Mixová je tu s neteří Zuzkou. </w:t>
      </w:r>
      <w:proofErr w:type="spellStart"/>
      <w:r w:rsidRPr="00F63F75">
        <w:t>Morák</w:t>
      </w:r>
      <w:proofErr w:type="spellEnd"/>
      <w:r w:rsidRPr="00F63F75">
        <w:t xml:space="preserve"> je zneuznaný básník, je skeptický a pociťuje na sobě velkou křivdu. Autor nám ukazuje svět vzájemně odcizených lidí. Lidé se cítí osamoceni, protože jim život nedal to, co by je maximálně naplňovalo. Lidé se cítí ukřivděni životem.</w:t>
      </w:r>
    </w:p>
    <w:p w:rsidR="008A775B" w:rsidRDefault="008A775B"/>
    <w:sectPr w:rsidR="008A775B" w:rsidSect="003655F3">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D1AFD"/>
    <w:multiLevelType w:val="multilevel"/>
    <w:tmpl w:val="FFBC832C"/>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9F57B9C"/>
    <w:multiLevelType w:val="hybridMultilevel"/>
    <w:tmpl w:val="87AEA026"/>
    <w:lvl w:ilvl="0" w:tplc="377E4C32">
      <w:numFmt w:val="bullet"/>
      <w:lvlText w:val="-"/>
      <w:lvlJc w:val="left"/>
      <w:pPr>
        <w:ind w:left="720" w:hanging="360"/>
      </w:pPr>
      <w:rPr>
        <w:rFonts w:ascii="Times New Roman" w:eastAsiaTheme="minorEastAsia" w:hAnsi="Times New Roman"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
    <w:nsid w:val="1AB13997"/>
    <w:multiLevelType w:val="hybridMultilevel"/>
    <w:tmpl w:val="227A112E"/>
    <w:lvl w:ilvl="0" w:tplc="22543838">
      <w:numFmt w:val="bullet"/>
      <w:lvlText w:val="-"/>
      <w:lvlJc w:val="left"/>
      <w:pPr>
        <w:ind w:left="720" w:hanging="360"/>
      </w:pPr>
      <w:rPr>
        <w:rFonts w:ascii="Times New Roman" w:eastAsia="Calibr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61001598"/>
    <w:multiLevelType w:val="hybridMultilevel"/>
    <w:tmpl w:val="52FCE9DA"/>
    <w:lvl w:ilvl="0" w:tplc="30B03CA8">
      <w:numFmt w:val="bullet"/>
      <w:lvlText w:val="-"/>
      <w:lvlJc w:val="left"/>
      <w:pPr>
        <w:ind w:left="-207" w:hanging="360"/>
      </w:pPr>
      <w:rPr>
        <w:rFonts w:ascii="Calibri" w:eastAsiaTheme="minorEastAsia" w:hAnsi="Calibri" w:cs="Times New Roman" w:hint="default"/>
      </w:rPr>
    </w:lvl>
    <w:lvl w:ilvl="1" w:tplc="04050003" w:tentative="1">
      <w:start w:val="1"/>
      <w:numFmt w:val="bullet"/>
      <w:lvlText w:val="o"/>
      <w:lvlJc w:val="left"/>
      <w:pPr>
        <w:ind w:left="513" w:hanging="360"/>
      </w:pPr>
      <w:rPr>
        <w:rFonts w:ascii="Courier New" w:hAnsi="Courier New" w:cs="Courier New" w:hint="default"/>
      </w:rPr>
    </w:lvl>
    <w:lvl w:ilvl="2" w:tplc="04050005" w:tentative="1">
      <w:start w:val="1"/>
      <w:numFmt w:val="bullet"/>
      <w:lvlText w:val=""/>
      <w:lvlJc w:val="left"/>
      <w:pPr>
        <w:ind w:left="1233" w:hanging="360"/>
      </w:pPr>
      <w:rPr>
        <w:rFonts w:ascii="Wingdings" w:hAnsi="Wingdings" w:hint="default"/>
      </w:rPr>
    </w:lvl>
    <w:lvl w:ilvl="3" w:tplc="04050001" w:tentative="1">
      <w:start w:val="1"/>
      <w:numFmt w:val="bullet"/>
      <w:lvlText w:val=""/>
      <w:lvlJc w:val="left"/>
      <w:pPr>
        <w:ind w:left="1953" w:hanging="360"/>
      </w:pPr>
      <w:rPr>
        <w:rFonts w:ascii="Symbol" w:hAnsi="Symbol" w:hint="default"/>
      </w:rPr>
    </w:lvl>
    <w:lvl w:ilvl="4" w:tplc="04050003" w:tentative="1">
      <w:start w:val="1"/>
      <w:numFmt w:val="bullet"/>
      <w:lvlText w:val="o"/>
      <w:lvlJc w:val="left"/>
      <w:pPr>
        <w:ind w:left="2673" w:hanging="360"/>
      </w:pPr>
      <w:rPr>
        <w:rFonts w:ascii="Courier New" w:hAnsi="Courier New" w:cs="Courier New" w:hint="default"/>
      </w:rPr>
    </w:lvl>
    <w:lvl w:ilvl="5" w:tplc="04050005" w:tentative="1">
      <w:start w:val="1"/>
      <w:numFmt w:val="bullet"/>
      <w:lvlText w:val=""/>
      <w:lvlJc w:val="left"/>
      <w:pPr>
        <w:ind w:left="3393" w:hanging="360"/>
      </w:pPr>
      <w:rPr>
        <w:rFonts w:ascii="Wingdings" w:hAnsi="Wingdings" w:hint="default"/>
      </w:rPr>
    </w:lvl>
    <w:lvl w:ilvl="6" w:tplc="04050001" w:tentative="1">
      <w:start w:val="1"/>
      <w:numFmt w:val="bullet"/>
      <w:lvlText w:val=""/>
      <w:lvlJc w:val="left"/>
      <w:pPr>
        <w:ind w:left="4113" w:hanging="360"/>
      </w:pPr>
      <w:rPr>
        <w:rFonts w:ascii="Symbol" w:hAnsi="Symbol" w:hint="default"/>
      </w:rPr>
    </w:lvl>
    <w:lvl w:ilvl="7" w:tplc="04050003" w:tentative="1">
      <w:start w:val="1"/>
      <w:numFmt w:val="bullet"/>
      <w:lvlText w:val="o"/>
      <w:lvlJc w:val="left"/>
      <w:pPr>
        <w:ind w:left="4833" w:hanging="360"/>
      </w:pPr>
      <w:rPr>
        <w:rFonts w:ascii="Courier New" w:hAnsi="Courier New" w:cs="Courier New" w:hint="default"/>
      </w:rPr>
    </w:lvl>
    <w:lvl w:ilvl="8" w:tplc="04050005" w:tentative="1">
      <w:start w:val="1"/>
      <w:numFmt w:val="bullet"/>
      <w:lvlText w:val=""/>
      <w:lvlJc w:val="left"/>
      <w:pPr>
        <w:ind w:left="5553"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3655F3"/>
    <w:rsid w:val="003655F3"/>
    <w:rsid w:val="008A775B"/>
    <w:rsid w:val="00F63F7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5F3"/>
    <w:pPr>
      <w:spacing w:after="160" w:line="256" w:lineRule="auto"/>
    </w:pPr>
    <w:rPr>
      <w:rFonts w:eastAsiaTheme="minorEastAsia"/>
      <w:lang w:eastAsia="cs-CZ"/>
    </w:rPr>
  </w:style>
  <w:style w:type="paragraph" w:styleId="Nadpis1">
    <w:name w:val="heading 1"/>
    <w:basedOn w:val="Normln"/>
    <w:link w:val="Nadpis1Char"/>
    <w:rsid w:val="00F63F75"/>
    <w:pPr>
      <w:suppressAutoHyphens/>
      <w:autoSpaceDN w:val="0"/>
      <w:spacing w:before="100" w:after="100" w:line="240" w:lineRule="auto"/>
      <w:textAlignment w:val="baseline"/>
      <w:outlineLvl w:val="0"/>
    </w:pPr>
    <w:rPr>
      <w:rFonts w:ascii="Calibri" w:eastAsia="Times New Roman" w:hAnsi="Calibri" w:cs="Calibri"/>
      <w:b/>
      <w:bCs/>
      <w:color w:val="0070C0"/>
      <w:kern w:val="3"/>
      <w:sz w:val="48"/>
      <w:szCs w:val="4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qFormat/>
    <w:rsid w:val="003655F3"/>
    <w:pPr>
      <w:ind w:left="720"/>
      <w:contextualSpacing/>
    </w:pPr>
  </w:style>
  <w:style w:type="character" w:customStyle="1" w:styleId="Nadpis1Char">
    <w:name w:val="Nadpis 1 Char"/>
    <w:basedOn w:val="Standardnpsmoodstavce"/>
    <w:link w:val="Nadpis1"/>
    <w:rsid w:val="00F63F75"/>
    <w:rPr>
      <w:rFonts w:ascii="Calibri" w:eastAsia="Times New Roman" w:hAnsi="Calibri" w:cs="Calibri"/>
      <w:b/>
      <w:bCs/>
      <w:color w:val="0070C0"/>
      <w:kern w:val="3"/>
      <w:sz w:val="48"/>
      <w:szCs w:val="48"/>
      <w:lang w:eastAsia="cs-CZ"/>
    </w:rPr>
  </w:style>
</w:styles>
</file>

<file path=word/webSettings.xml><?xml version="1.0" encoding="utf-8"?>
<w:webSettings xmlns:r="http://schemas.openxmlformats.org/officeDocument/2006/relationships" xmlns:w="http://schemas.openxmlformats.org/wordprocessingml/2006/main">
  <w:divs>
    <w:div w:id="10753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646</Words>
  <Characters>3817</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Microsoft</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Kristýna</dc:creator>
  <cp:lastModifiedBy>Kristýna</cp:lastModifiedBy>
  <cp:revision>1</cp:revision>
  <dcterms:created xsi:type="dcterms:W3CDTF">2016-12-20T15:26:00Z</dcterms:created>
  <dcterms:modified xsi:type="dcterms:W3CDTF">2016-12-20T15:46:00Z</dcterms:modified>
</cp:coreProperties>
</file>