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1clara-nfasis3"/>
        <w:tblpPr w:leftFromText="141" w:rightFromText="141" w:tblpX="-1423" w:tblpY="-680"/>
        <w:tblW w:w="11766" w:type="dxa"/>
        <w:tblLook w:val="04A0" w:firstRow="1" w:lastRow="0" w:firstColumn="1" w:lastColumn="0" w:noHBand="0" w:noVBand="1"/>
      </w:tblPr>
      <w:tblGrid>
        <w:gridCol w:w="1838"/>
        <w:gridCol w:w="2693"/>
        <w:gridCol w:w="2268"/>
        <w:gridCol w:w="2587"/>
        <w:gridCol w:w="2380"/>
      </w:tblGrid>
      <w:tr w:rsidR="00893F85" w14:paraId="7BFE4615" w14:textId="77777777" w:rsidTr="006D0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6" w:type="dxa"/>
            <w:gridSpan w:val="5"/>
          </w:tcPr>
          <w:p w14:paraId="64D4F078" w14:textId="77777777" w:rsidR="00893F85" w:rsidRPr="00BF51F8" w:rsidRDefault="00893F85" w:rsidP="006D074A">
            <w:pPr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Fonts w:ascii="Arial" w:hAnsi="Arial" w:cs="Arial"/>
                <w:sz w:val="20"/>
                <w:szCs w:val="20"/>
              </w:rPr>
              <w:t>Instrumento 1.1.3.2 Matriz de categorización de hallazgos</w:t>
            </w:r>
          </w:p>
          <w:p w14:paraId="581A1757" w14:textId="77777777" w:rsidR="00893F85" w:rsidRPr="00BF51F8" w:rsidRDefault="00893F85" w:rsidP="006D074A">
            <w:pPr>
              <w:tabs>
                <w:tab w:val="left" w:pos="138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51F8" w14:paraId="025DDD59" w14:textId="77777777" w:rsidTr="006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6" w:type="dxa"/>
            <w:gridSpan w:val="5"/>
          </w:tcPr>
          <w:p w14:paraId="326C5DF9" w14:textId="77777777" w:rsidR="00BF51F8" w:rsidRPr="00BF51F8" w:rsidRDefault="00BF51F8" w:rsidP="006D07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51F8" w14:paraId="7810BD35" w14:textId="77777777" w:rsidTr="006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6" w:type="dxa"/>
            <w:gridSpan w:val="5"/>
          </w:tcPr>
          <w:p w14:paraId="3B8BAA4A" w14:textId="77777777" w:rsidR="00BF51F8" w:rsidRPr="00BF51F8" w:rsidRDefault="00BF51F8" w:rsidP="006D07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F85" w14:paraId="62327132" w14:textId="77777777" w:rsidTr="00BF5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D39FE5" w14:textId="77777777" w:rsidR="00893F85" w:rsidRPr="00BF51F8" w:rsidRDefault="00893F85" w:rsidP="006D074A">
            <w:pPr>
              <w:tabs>
                <w:tab w:val="left" w:pos="138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96A3FF4" w14:textId="77777777" w:rsidR="006D074A" w:rsidRPr="00BF51F8" w:rsidRDefault="006D074A" w:rsidP="006D074A">
            <w:pPr>
              <w:pStyle w:val="Ttulo3"/>
              <w:spacing w:line="300" w:lineRule="atLeas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BF51F8">
              <w:rPr>
                <w:rFonts w:ascii="Arial" w:hAnsi="Arial" w:cs="Arial"/>
                <w:color w:val="auto"/>
                <w:sz w:val="20"/>
                <w:szCs w:val="20"/>
              </w:rPr>
              <w:t>Insight</w:t>
            </w:r>
            <w:proofErr w:type="spellEnd"/>
            <w:r w:rsidRPr="00BF51F8">
              <w:rPr>
                <w:rFonts w:ascii="Arial" w:hAnsi="Arial" w:cs="Arial"/>
                <w:color w:val="auto"/>
                <w:sz w:val="20"/>
                <w:szCs w:val="20"/>
              </w:rPr>
              <w:t xml:space="preserve"> 1:</w:t>
            </w:r>
          </w:p>
          <w:p w14:paraId="5C245CC3" w14:textId="77777777" w:rsidR="006D074A" w:rsidRPr="00BF51F8" w:rsidRDefault="006D074A" w:rsidP="006D074A">
            <w:pPr>
              <w:pStyle w:val="NormalWeb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Style w:val="Textoennegrita"/>
                <w:rFonts w:ascii="Arial" w:eastAsiaTheme="majorEastAsia" w:hAnsi="Arial" w:cs="Arial"/>
                <w:b w:val="0"/>
                <w:sz w:val="20"/>
                <w:szCs w:val="20"/>
              </w:rPr>
              <w:t>Falta de acompañamiento humano en momentos críticos del estudiante</w:t>
            </w:r>
          </w:p>
          <w:p w14:paraId="19D22501" w14:textId="5E877283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E390E31" w14:textId="77777777" w:rsidR="006D074A" w:rsidRPr="00BF51F8" w:rsidRDefault="006D074A" w:rsidP="006D074A">
            <w:pPr>
              <w:pStyle w:val="Ttulo3"/>
              <w:spacing w:line="300" w:lineRule="atLeas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BF51F8">
              <w:rPr>
                <w:rFonts w:ascii="Arial" w:hAnsi="Arial" w:cs="Arial"/>
                <w:color w:val="auto"/>
                <w:sz w:val="20"/>
                <w:szCs w:val="20"/>
              </w:rPr>
              <w:t>Insight</w:t>
            </w:r>
            <w:proofErr w:type="spellEnd"/>
            <w:r w:rsidRPr="00BF51F8">
              <w:rPr>
                <w:rFonts w:ascii="Arial" w:hAnsi="Arial" w:cs="Arial"/>
                <w:color w:val="auto"/>
                <w:sz w:val="20"/>
                <w:szCs w:val="20"/>
              </w:rPr>
              <w:t xml:space="preserve"> 2:</w:t>
            </w:r>
          </w:p>
          <w:p w14:paraId="4DE268FB" w14:textId="77777777" w:rsidR="006D074A" w:rsidRPr="00BF51F8" w:rsidRDefault="006D074A" w:rsidP="006D074A">
            <w:pPr>
              <w:pStyle w:val="NormalWeb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Style w:val="Textoennegrita"/>
                <w:rFonts w:ascii="Arial" w:eastAsiaTheme="majorEastAsia" w:hAnsi="Arial" w:cs="Arial"/>
                <w:b w:val="0"/>
                <w:sz w:val="20"/>
                <w:szCs w:val="20"/>
              </w:rPr>
              <w:t>Las brechas de aprendizaje generan frustración y abandono progresivo</w:t>
            </w:r>
          </w:p>
          <w:p w14:paraId="2DE26822" w14:textId="3C5D314C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7" w:type="dxa"/>
          </w:tcPr>
          <w:p w14:paraId="480469F0" w14:textId="77777777" w:rsidR="00BF51F8" w:rsidRDefault="00BF51F8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40BE024C" w14:textId="77777777" w:rsidR="00893F85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51F8">
              <w:rPr>
                <w:rFonts w:ascii="Arial" w:hAnsi="Arial" w:cs="Arial"/>
                <w:sz w:val="20"/>
                <w:szCs w:val="20"/>
              </w:rPr>
              <w:t>Insight</w:t>
            </w:r>
            <w:proofErr w:type="spellEnd"/>
            <w:r w:rsidRPr="00BF51F8">
              <w:rPr>
                <w:rFonts w:ascii="Arial" w:hAnsi="Arial" w:cs="Arial"/>
                <w:sz w:val="20"/>
                <w:szCs w:val="20"/>
              </w:rPr>
              <w:t xml:space="preserve"> 3:</w:t>
            </w:r>
          </w:p>
          <w:p w14:paraId="26A3C873" w14:textId="77777777" w:rsidR="00BF51F8" w:rsidRDefault="00BF51F8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A6DC757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El entorno personal (trabajo, familia, salud mental) impacta directamente la permanencia escolar</w:t>
            </w:r>
          </w:p>
          <w:p w14:paraId="61C19FB8" w14:textId="546AF773" w:rsidR="00BF51F8" w:rsidRPr="00BF51F8" w:rsidRDefault="00BF51F8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</w:tcPr>
          <w:p w14:paraId="5C7DF6BA" w14:textId="77777777" w:rsidR="00BF51F8" w:rsidRDefault="00BF51F8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C19512D" w14:textId="65D6B6A2" w:rsidR="00893F85" w:rsidRPr="00BF51F8" w:rsidRDefault="00BF51F8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Insight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4:</w:t>
            </w:r>
          </w:p>
          <w:p w14:paraId="1368ECA8" w14:textId="7275A51D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3DE6767E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El sentido de pertenencia y las relaciones positivas son clave para la motivación escolar</w:t>
            </w:r>
          </w:p>
          <w:p w14:paraId="3B4BB383" w14:textId="77777777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F85" w14:paraId="533F463B" w14:textId="77777777" w:rsidTr="00BF5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2D6561" w14:textId="77777777" w:rsidR="00893F85" w:rsidRPr="00BF51F8" w:rsidRDefault="00893F85" w:rsidP="006D074A">
            <w:pPr>
              <w:tabs>
                <w:tab w:val="left" w:pos="1385"/>
              </w:tabs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F5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Descripción</w:t>
            </w:r>
          </w:p>
        </w:tc>
        <w:tc>
          <w:tcPr>
            <w:tcW w:w="2693" w:type="dxa"/>
          </w:tcPr>
          <w:p w14:paraId="14A3261B" w14:textId="7E438F5D" w:rsidR="00893F85" w:rsidRPr="00BF51F8" w:rsidRDefault="006D074A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Los estudiantes en riesgo de deserción no reciben apoyo personalizado cuando comienzan a ausentarse o bajar su rendimiento. El sistema escolar funciona de manera automática y reactiva (mensajes o sanciones), pero no existe un seguimiento emocional o académico oportuno, lo que aumenta la desconexión del alumno con el liceo.</w:t>
            </w:r>
          </w:p>
        </w:tc>
        <w:tc>
          <w:tcPr>
            <w:tcW w:w="2268" w:type="dxa"/>
          </w:tcPr>
          <w:p w14:paraId="10320481" w14:textId="77777777" w:rsidR="006D074A" w:rsidRPr="00BF51F8" w:rsidRDefault="006D074A" w:rsidP="006D074A">
            <w:pPr>
              <w:pStyle w:val="NormalWeb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Fonts w:ascii="Arial" w:hAnsi="Arial" w:cs="Arial"/>
                <w:sz w:val="20"/>
                <w:szCs w:val="20"/>
              </w:rPr>
              <w:t>Muchos estudiantes arrastran vacíos académicos de años anteriores que no son abordados. Esto provoca frustración, desmotivación y estrategias de evasión (uso del celular, ausentismo), culminando en riesgo de deserción.</w:t>
            </w:r>
          </w:p>
          <w:p w14:paraId="51F99F0B" w14:textId="77777777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7" w:type="dxa"/>
          </w:tcPr>
          <w:p w14:paraId="339AE674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Los estudiantes enfrentan realidades externas complejas (trabajo, cuidado de familiares, problemas económicos o emocionales), pero el sistema escolar no tiene mecanismos adaptados para reconocer ni apoyar estas situaciones, generando exclusión indirecta.</w:t>
            </w:r>
          </w:p>
          <w:p w14:paraId="70573C8A" w14:textId="77777777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</w:tcPr>
          <w:p w14:paraId="59A1FC49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Los estudiantes que cuentan con redes de apoyo (amigos, profesores, tutorías, actividades) muestran mayor compromiso y motivación. Por el contrario, quienes se sienten solos, discriminados o invisibles tienden a desconectarse del sistema.</w:t>
            </w:r>
          </w:p>
          <w:p w14:paraId="5DBA6847" w14:textId="77777777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F85" w14:paraId="776A8A62" w14:textId="77777777" w:rsidTr="00BF5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76287D" w14:textId="77777777" w:rsidR="00893F85" w:rsidRPr="00BF51F8" w:rsidRDefault="00893F85" w:rsidP="006D074A">
            <w:pPr>
              <w:tabs>
                <w:tab w:val="left" w:pos="1385"/>
              </w:tabs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Reflexiones/</w:t>
            </w:r>
          </w:p>
          <w:p w14:paraId="78FC2231" w14:textId="77777777" w:rsidR="00893F85" w:rsidRPr="00BF51F8" w:rsidRDefault="00893F85" w:rsidP="006D074A">
            <w:pPr>
              <w:tabs>
                <w:tab w:val="left" w:pos="1385"/>
              </w:tabs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F5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cita clave</w:t>
            </w:r>
          </w:p>
        </w:tc>
        <w:tc>
          <w:tcPr>
            <w:tcW w:w="2693" w:type="dxa"/>
          </w:tcPr>
          <w:p w14:paraId="386DF7D3" w14:textId="77777777" w:rsidR="006D074A" w:rsidRPr="00BF51F8" w:rsidRDefault="006D074A" w:rsidP="006D074A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“Nadie se te acerca a decirte ‘oye, ¿por qué te está yendo mal?’” (Camila)</w:t>
            </w:r>
          </w:p>
          <w:p w14:paraId="45E8C51B" w14:textId="77777777" w:rsidR="006D074A" w:rsidRPr="00BF51F8" w:rsidRDefault="006D074A" w:rsidP="006D074A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“El inspector solo me llamó para avisarme que iba a reprobar” (Sebastián)</w:t>
            </w:r>
          </w:p>
          <w:p w14:paraId="3AA4FB49" w14:textId="281A291F" w:rsidR="00893F85" w:rsidRPr="00BF51F8" w:rsidRDefault="006D074A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“Para ellos soy uno más que no hace tareas” (Rodrigo)</w:t>
            </w:r>
          </w:p>
          <w:p w14:paraId="2FF44BB5" w14:textId="6026A259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919F98A" w14:textId="77777777" w:rsidR="006D074A" w:rsidRPr="00BF51F8" w:rsidRDefault="006D074A" w:rsidP="006D074A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“Me quedé súper atrás… no entiendo nada” (Camila)</w:t>
            </w:r>
          </w:p>
          <w:p w14:paraId="4A092E2D" w14:textId="2B93F743" w:rsidR="00893F85" w:rsidRPr="00BF51F8" w:rsidRDefault="006D074A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F51F8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“No entiendo la mayoría de las materias” (Diego)</w:t>
            </w:r>
          </w:p>
        </w:tc>
        <w:tc>
          <w:tcPr>
            <w:tcW w:w="2587" w:type="dxa"/>
          </w:tcPr>
          <w:p w14:paraId="515AEA0B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“Tuve que empezar a ayudar en la casa” (Sebastián)</w:t>
            </w:r>
          </w:p>
          <w:p w14:paraId="1FF2A86E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“Duermo cinco horas… no tengo tiempo” (Rodrigo)</w:t>
            </w:r>
          </w:p>
          <w:p w14:paraId="22745411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“Cuido a mi abuela… igual me marcan falta” (Tomás)</w:t>
            </w:r>
          </w:p>
          <w:p w14:paraId="762F2143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“Quería ir al </w:t>
            </w:r>
            <w:proofErr w:type="gramStart"/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psicólogo</w:t>
            </w:r>
            <w:proofErr w:type="gramEnd"/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 pero no pude” (Matías)</w:t>
            </w:r>
          </w:p>
          <w:p w14:paraId="5D3D62DE" w14:textId="77777777" w:rsidR="00893F85" w:rsidRPr="00BF51F8" w:rsidRDefault="00893F85" w:rsidP="006D074A">
            <w:pPr>
              <w:tabs>
                <w:tab w:val="left" w:pos="13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</w:tcPr>
          <w:p w14:paraId="28B43B53" w14:textId="77777777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>“Cada uno cuida su metro cuadrado” (Camila)</w:t>
            </w:r>
          </w:p>
          <w:p w14:paraId="45FCA3B6" w14:textId="70E7B0CD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bookmarkStart w:id="0" w:name="_GoBack"/>
            <w:bookmarkEnd w:id="0"/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Me siento invisible” (Matías) </w:t>
            </w:r>
          </w:p>
          <w:p w14:paraId="08214DBE" w14:textId="04F0CA10" w:rsidR="00BF51F8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“A veces me escondo en el baño” (Benjamín) </w:t>
            </w:r>
          </w:p>
          <w:p w14:paraId="1706B56B" w14:textId="2BEE9A14" w:rsidR="00893F85" w:rsidRPr="00BF51F8" w:rsidRDefault="00BF51F8" w:rsidP="00BF51F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51F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L"/>
                <w14:ligatures w14:val="none"/>
              </w:rPr>
              <w:t xml:space="preserve">“Estudiamos juntas y eso ayuda” (Valentina) </w:t>
            </w:r>
          </w:p>
        </w:tc>
      </w:tr>
    </w:tbl>
    <w:p w14:paraId="0AFC6BC4" w14:textId="77777777" w:rsidR="00730927" w:rsidRDefault="00730927"/>
    <w:sectPr w:rsidR="007309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8FC56" w14:textId="77777777" w:rsidR="0032057F" w:rsidRDefault="0032057F" w:rsidP="006D074A">
      <w:pPr>
        <w:spacing w:after="0" w:line="240" w:lineRule="auto"/>
      </w:pPr>
      <w:r>
        <w:separator/>
      </w:r>
    </w:p>
  </w:endnote>
  <w:endnote w:type="continuationSeparator" w:id="0">
    <w:p w14:paraId="3EE611A0" w14:textId="77777777" w:rsidR="0032057F" w:rsidRDefault="0032057F" w:rsidP="006D0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8A068" w14:textId="77777777" w:rsidR="006D074A" w:rsidRDefault="006D074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97AA2" w14:textId="77777777" w:rsidR="006D074A" w:rsidRDefault="006D074A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761E8" w14:textId="77777777" w:rsidR="006D074A" w:rsidRDefault="006D074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3A55E" w14:textId="77777777" w:rsidR="0032057F" w:rsidRDefault="0032057F" w:rsidP="006D074A">
      <w:pPr>
        <w:spacing w:after="0" w:line="240" w:lineRule="auto"/>
      </w:pPr>
      <w:r>
        <w:separator/>
      </w:r>
    </w:p>
  </w:footnote>
  <w:footnote w:type="continuationSeparator" w:id="0">
    <w:p w14:paraId="10C077C7" w14:textId="77777777" w:rsidR="0032057F" w:rsidRDefault="0032057F" w:rsidP="006D0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D35F0" w14:textId="77777777" w:rsidR="006D074A" w:rsidRDefault="006D074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AF219" w14:textId="77777777" w:rsidR="006D074A" w:rsidRDefault="006D074A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E26C3" w14:textId="77777777" w:rsidR="006D074A" w:rsidRDefault="006D07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85"/>
    <w:rsid w:val="0032057F"/>
    <w:rsid w:val="006D074A"/>
    <w:rsid w:val="00730927"/>
    <w:rsid w:val="00893F85"/>
    <w:rsid w:val="00B75EB3"/>
    <w:rsid w:val="00BB6992"/>
    <w:rsid w:val="00BF51F8"/>
    <w:rsid w:val="00C0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C92D"/>
  <w15:chartTrackingRefBased/>
  <w15:docId w15:val="{A3E69D8D-C648-41DE-939C-887C62AD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F85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93F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F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F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F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F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F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F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F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F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F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F8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93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F85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893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F85"/>
    <w:rPr>
      <w:b/>
      <w:bCs/>
      <w:smallCaps/>
      <w:color w:val="0F4761" w:themeColor="accent1" w:themeShade="BF"/>
      <w:spacing w:val="5"/>
    </w:rPr>
  </w:style>
  <w:style w:type="table" w:styleId="Tabladecuadrcula1clara-nfasis3">
    <w:name w:val="Grid Table 1 Light Accent 3"/>
    <w:basedOn w:val="Tablanormal"/>
    <w:uiPriority w:val="46"/>
    <w:rsid w:val="00893F85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6D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6D074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BF51F8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Sofía Acharán Vera</dc:creator>
  <cp:keywords/>
  <dc:description/>
  <cp:lastModifiedBy>Juan Carlos Mena Varas</cp:lastModifiedBy>
  <cp:revision>3</cp:revision>
  <dcterms:created xsi:type="dcterms:W3CDTF">2024-08-07T20:28:00Z</dcterms:created>
  <dcterms:modified xsi:type="dcterms:W3CDTF">2026-05-25T23:55:00Z</dcterms:modified>
</cp:coreProperties>
</file>