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DD3D" w14:textId="47CFE2A6" w:rsidR="00095F97" w:rsidRDefault="00C54AC6" w:rsidP="00C54AC6">
      <w:pPr>
        <w:jc w:val="center"/>
        <w:rPr>
          <w:b/>
          <w:bCs/>
        </w:rPr>
      </w:pPr>
      <w:r w:rsidRPr="00C54AC6">
        <w:rPr>
          <w:b/>
          <w:bCs/>
        </w:rPr>
        <w:t>Analysis: What the Data is Telling Us?</w:t>
      </w:r>
    </w:p>
    <w:p w14:paraId="614E5C6B" w14:textId="36F199A6" w:rsidR="00C54AC6" w:rsidRPr="00C54AC6" w:rsidRDefault="00C54AC6" w:rsidP="000431F6">
      <w:pPr>
        <w:rPr>
          <w:b/>
          <w:bCs/>
        </w:rPr>
      </w:pPr>
      <w:r w:rsidRPr="00C54AC6">
        <w:rPr>
          <w:b/>
          <w:bCs/>
        </w:rPr>
        <w:t>Introduction</w:t>
      </w:r>
    </w:p>
    <w:p w14:paraId="40E08F94" w14:textId="115E14BD" w:rsidR="00C54AC6" w:rsidRDefault="00C54AC6" w:rsidP="000431F6">
      <w:r>
        <w:t>In this one page write up, I will discuss the four conclusions were arrived at. Together, these conclusions provide an integrated story regarding the relationship between growth, demand, category concentration and service quality.</w:t>
      </w:r>
    </w:p>
    <w:p w14:paraId="4339F508" w14:textId="7D81AF98" w:rsidR="00C54AC6" w:rsidRDefault="00C54AC6" w:rsidP="000431F6">
      <w:pPr>
        <w:rPr>
          <w:b/>
          <w:bCs/>
        </w:rPr>
      </w:pPr>
      <w:r w:rsidRPr="00C54AC6">
        <w:rPr>
          <w:b/>
          <w:bCs/>
        </w:rPr>
        <w:t>Finding 1: Sales and Delivery Pressure Peak at the same time</w:t>
      </w:r>
    </w:p>
    <w:p w14:paraId="69AAFD34" w14:textId="2220C0CC" w:rsidR="00C54AC6" w:rsidRDefault="000F3EDE" w:rsidP="000431F6">
      <w:r>
        <w:t>Based on Figure 1, f</w:t>
      </w:r>
      <w:r w:rsidR="00C54AC6">
        <w:t>rom January 2017 to August 2018, revenue and order volume move almost uniformly, reaching their highest points in November 2017 at $ 1,153,528 and 7,289 orders respectively. Growth and seasonality are the important insights. Delivery systems are under the most stress during the periods with the highest business performance</w:t>
      </w:r>
      <w:r w:rsidR="000528ED">
        <w:t xml:space="preserve"> </w:t>
      </w:r>
      <w:sdt>
        <w:sdtPr>
          <w:tag w:val="MENDELEY_CITATION_v3_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"/>
          <w:id w:val="881521487"/>
          <w:placeholder>
            <w:docPart w:val="DefaultPlaceholder_-1854013440"/>
          </w:placeholder>
        </w:sdtPr>
        <w:sdtContent>
          <w:r w:rsidR="000431F6" w:rsidRPr="000431F6">
            <w:rPr>
              <w:rFonts w:eastAsia="Times New Roman"/>
            </w:rPr>
            <w:t>(</w:t>
          </w:r>
          <w:proofErr w:type="spellStart"/>
          <w:r w:rsidR="000431F6" w:rsidRPr="000431F6">
            <w:rPr>
              <w:rFonts w:eastAsia="Times New Roman"/>
            </w:rPr>
            <w:t>Shanakar</w:t>
          </w:r>
          <w:proofErr w:type="spellEnd"/>
          <w:r w:rsidR="000431F6" w:rsidRPr="000431F6">
            <w:rPr>
              <w:rFonts w:eastAsia="Times New Roman"/>
            </w:rPr>
            <w:t xml:space="preserve"> &amp; S, 2024)</w:t>
          </w:r>
        </w:sdtContent>
      </w:sdt>
      <w:r w:rsidR="00C54AC6">
        <w:t xml:space="preserve">. Planning for seasonal demand is a need to sustain the growth of the business. </w:t>
      </w:r>
    </w:p>
    <w:p w14:paraId="23E18F55" w14:textId="3DB28A4F" w:rsidR="00C54AC6" w:rsidRPr="00C54AC6" w:rsidRDefault="00C54AC6" w:rsidP="000431F6">
      <w:pPr>
        <w:rPr>
          <w:b/>
          <w:bCs/>
        </w:rPr>
      </w:pPr>
      <w:r w:rsidRPr="00C54AC6">
        <w:rPr>
          <w:b/>
          <w:bCs/>
        </w:rPr>
        <w:t>Finding 2: One Category Carries a Disproportionate share of volume</w:t>
      </w:r>
    </w:p>
    <w:p w14:paraId="52BFFB85" w14:textId="315C05EE" w:rsidR="00C54AC6" w:rsidRDefault="000F3EDE" w:rsidP="000431F6">
      <w:r>
        <w:t>Based on Figure 2, w</w:t>
      </w:r>
      <w:r w:rsidR="002C341C">
        <w:t xml:space="preserve">ith </w:t>
      </w:r>
      <w:r w:rsidR="002578FA">
        <w:t>22,071</w:t>
      </w:r>
      <w:r w:rsidR="002C341C">
        <w:t xml:space="preserve"> orders, </w:t>
      </w:r>
      <w:proofErr w:type="spellStart"/>
      <w:r w:rsidR="002C341C">
        <w:t>Escritorio</w:t>
      </w:r>
      <w:proofErr w:type="spellEnd"/>
      <w:r w:rsidR="002C341C">
        <w:t xml:space="preserve"> or Furniture leads all products categories and more than </w:t>
      </w:r>
      <w:r w:rsidR="002578FA">
        <w:t>128</w:t>
      </w:r>
      <w:r w:rsidR="002C341C">
        <w:t>% compared to second ranked category. The concentration of order volume to furniture gives an important insight that may cause pressure on fulfilment and last mile delivery because of large dimensions of the order</w:t>
      </w:r>
      <w:r w:rsidR="002578FA">
        <w:t xml:space="preserve"> </w:t>
      </w:r>
      <w:sdt>
        <w:sdtPr>
          <w:tag w:val="MENDELEY_CITATION_v3_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"/>
          <w:id w:val="1119114911"/>
          <w:placeholder>
            <w:docPart w:val="DefaultPlaceholder_-1854013440"/>
          </w:placeholder>
        </w:sdtPr>
        <w:sdtContent>
          <w:r w:rsidR="000431F6" w:rsidRPr="000431F6">
            <w:t>(3PeeL, 2026)</w:t>
          </w:r>
        </w:sdtContent>
      </w:sdt>
      <w:r w:rsidR="002C341C">
        <w:t xml:space="preserve">. </w:t>
      </w:r>
      <w:r w:rsidR="002578FA">
        <w:t>Therefore, transportation systems implemented should be customizable and adaptable to cater the business needs.</w:t>
      </w:r>
    </w:p>
    <w:p w14:paraId="4E539F81" w14:textId="12F1E3BB" w:rsidR="000431F6" w:rsidRDefault="000431F6" w:rsidP="000431F6">
      <w:pPr>
        <w:rPr>
          <w:b/>
          <w:bCs/>
        </w:rPr>
      </w:pPr>
      <w:r w:rsidRPr="000431F6">
        <w:rPr>
          <w:b/>
          <w:bCs/>
        </w:rPr>
        <w:t xml:space="preserve">Finding 3: Review Score measure delivery experience, not product quality </w:t>
      </w:r>
    </w:p>
    <w:p w14:paraId="2E439444" w14:textId="2B2D2E2D" w:rsidR="000431F6" w:rsidRPr="000431F6" w:rsidRDefault="00E46893" w:rsidP="000431F6">
      <w:r>
        <w:t>Based on Figure 3, t</w:t>
      </w:r>
      <w:r w:rsidR="000431F6">
        <w:t xml:space="preserve">he average rating for post-delivery reviews was 4.20 out of 5. On a 5-star scale, the average score for reviews written before the delivery was 1.80, a 2.4-star difference. Thus, the issue is not with the goods or the price of the product. The issue was the delivery which represented by the review score. Therefore, the important factor to increase customer satisfaction is to improve consistency on delivery timing </w:t>
      </w:r>
      <w:sdt>
        <w:sdtPr>
          <w:tag w:val="MENDELEY_CITATION_v3_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"/>
          <w:id w:val="-1299833454"/>
          <w:placeholder>
            <w:docPart w:val="DefaultPlaceholder_-1854013440"/>
          </w:placeholder>
        </w:sdtPr>
        <w:sdtContent>
          <w:r w:rsidR="000431F6" w:rsidRPr="000431F6">
            <w:t>(Gosling, 2025)</w:t>
          </w:r>
        </w:sdtContent>
      </w:sdt>
      <w:r w:rsidR="000431F6">
        <w:t xml:space="preserve">. </w:t>
      </w:r>
    </w:p>
    <w:p w14:paraId="59DF4FC6" w14:textId="68F5CF57" w:rsidR="000431F6" w:rsidRDefault="000431F6" w:rsidP="00C54AC6">
      <w:pPr>
        <w:jc w:val="left"/>
        <w:rPr>
          <w:rFonts w:eastAsia="Times New Roman"/>
          <w:b/>
          <w:bCs/>
        </w:rPr>
      </w:pPr>
      <w:r>
        <w:rPr>
          <w:b/>
          <w:bCs/>
        </w:rPr>
        <w:t xml:space="preserve">Findings 4: </w:t>
      </w:r>
      <w:r w:rsidRPr="00A60B10">
        <w:rPr>
          <w:rFonts w:eastAsia="Times New Roman"/>
          <w:b/>
          <w:bCs/>
        </w:rPr>
        <w:t>Growth Is Strong, but Quarterly Fluctuations Are Significant</w:t>
      </w:r>
    </w:p>
    <w:p w14:paraId="057A3715" w14:textId="50D3CFAA" w:rsidR="000431F6" w:rsidRDefault="000431F6" w:rsidP="00C54AC6">
      <w:pPr>
        <w:jc w:val="left"/>
        <w:rPr>
          <w:rFonts w:eastAsia="Times New Roman"/>
        </w:rPr>
      </w:pPr>
      <w:r>
        <w:rPr>
          <w:rFonts w:eastAsia="Times New Roman"/>
        </w:rPr>
        <w:t>In Quarters 1 to 4 in 2017 2018, order volume increased 102% annually. Although growth is not smooth, based on the chart, order volume has seasonal peaks in line with seasonal demand. For instance,</w:t>
      </w:r>
      <w:r w:rsidR="000F3EDE" w:rsidRPr="000F3EDE">
        <w:rPr>
          <w:rFonts w:eastAsia="Times New Roman"/>
        </w:rPr>
        <w:t xml:space="preserve"> </w:t>
      </w:r>
      <w:r w:rsidR="000F3EDE">
        <w:rPr>
          <w:rFonts w:eastAsia="Times New Roman"/>
        </w:rPr>
        <w:t>last Nov 2017, 7289 orders are recorded (which part of holiday months) the</w:t>
      </w:r>
      <w:r>
        <w:rPr>
          <w:rFonts w:eastAsia="Times New Roman"/>
        </w:rPr>
        <w:t xml:space="preserve"> highest pea</w:t>
      </w:r>
      <w:r w:rsidR="000F3EDE">
        <w:rPr>
          <w:rFonts w:eastAsia="Times New Roman"/>
        </w:rPr>
        <w:t xml:space="preserve">k of order volume so far. Therefore, the company may re-evaluate their forecasting strategy to accommodate such fluctuations. </w:t>
      </w:r>
    </w:p>
    <w:p w14:paraId="70CFDE40" w14:textId="77777777" w:rsidR="000F3EDE" w:rsidRDefault="000F3EDE" w:rsidP="00C54AC6">
      <w:pPr>
        <w:jc w:val="left"/>
        <w:rPr>
          <w:rFonts w:eastAsia="Times New Roman"/>
        </w:rPr>
      </w:pPr>
    </w:p>
    <w:p w14:paraId="7620BC2E" w14:textId="2062BD9E" w:rsidR="000F3EDE" w:rsidRDefault="000F3EDE" w:rsidP="000F3EDE">
      <w:pPr>
        <w:jc w:val="center"/>
        <w:rPr>
          <w:rFonts w:eastAsia="Times New Roman"/>
          <w:b/>
          <w:bCs/>
        </w:rPr>
      </w:pPr>
      <w:r w:rsidRPr="000F3EDE">
        <w:rPr>
          <w:rFonts w:eastAsia="Times New Roman"/>
          <w:b/>
          <w:bCs/>
        </w:rPr>
        <w:lastRenderedPageBreak/>
        <w:t>REFERENCES</w:t>
      </w:r>
    </w:p>
    <w:sdt>
      <w:sdtPr>
        <w:rPr>
          <w:b/>
          <w:bCs/>
        </w:rPr>
        <w:tag w:val="MENDELEY_BIBLIOGRAPHY"/>
        <w:id w:val="-692924485"/>
        <w:placeholder>
          <w:docPart w:val="DefaultPlaceholder_-1854013440"/>
        </w:placeholder>
      </w:sdtPr>
      <w:sdtContent>
        <w:p w14:paraId="4E6D4115" w14:textId="77777777" w:rsidR="000F3EDE" w:rsidRPr="000F3EDE" w:rsidRDefault="000F3EDE">
          <w:pPr>
            <w:autoSpaceDE w:val="0"/>
            <w:autoSpaceDN w:val="0"/>
            <w:ind w:hanging="480"/>
            <w:divId w:val="980841519"/>
            <w:rPr>
              <w:rFonts w:eastAsia="Times New Roman"/>
              <w:bCs/>
              <w:kern w:val="0"/>
              <w14:ligatures w14:val="none"/>
            </w:rPr>
          </w:pPr>
          <w:r w:rsidRPr="000F3EDE">
            <w:rPr>
              <w:rFonts w:eastAsia="Times New Roman"/>
              <w:bCs/>
            </w:rPr>
            <w:t xml:space="preserve">3PeeL. (2026, May 5). </w:t>
          </w:r>
          <w:r w:rsidRPr="000F3EDE">
            <w:rPr>
              <w:rFonts w:eastAsia="Times New Roman"/>
              <w:bCs/>
              <w:i/>
              <w:iCs/>
            </w:rPr>
            <w:t xml:space="preserve">How To Handle 3PL Challenges </w:t>
          </w:r>
          <w:proofErr w:type="gramStart"/>
          <w:r w:rsidRPr="000F3EDE">
            <w:rPr>
              <w:rFonts w:eastAsia="Times New Roman"/>
              <w:bCs/>
              <w:i/>
              <w:iCs/>
            </w:rPr>
            <w:t>For</w:t>
          </w:r>
          <w:proofErr w:type="gramEnd"/>
          <w:r w:rsidRPr="000F3EDE">
            <w:rPr>
              <w:rFonts w:eastAsia="Times New Roman"/>
              <w:bCs/>
              <w:i/>
              <w:iCs/>
            </w:rPr>
            <w:t xml:space="preserve"> Oversized or Bulky Items (Tricks You Didn’t Know) - 3PeeL</w:t>
          </w:r>
          <w:r w:rsidRPr="000F3EDE">
            <w:rPr>
              <w:rFonts w:eastAsia="Times New Roman"/>
              <w:bCs/>
            </w:rPr>
            <w:t>. https://3peel.com/how-to-handle-3pl-challenges-for-oversized-or-bulky-items-tricks-you-didnt-know/</w:t>
          </w:r>
        </w:p>
        <w:p w14:paraId="5066A47C" w14:textId="77777777" w:rsidR="000F3EDE" w:rsidRPr="000F3EDE" w:rsidRDefault="000F3EDE">
          <w:pPr>
            <w:autoSpaceDE w:val="0"/>
            <w:autoSpaceDN w:val="0"/>
            <w:ind w:hanging="480"/>
            <w:divId w:val="1502770215"/>
            <w:rPr>
              <w:rFonts w:eastAsia="Times New Roman"/>
              <w:bCs/>
            </w:rPr>
          </w:pPr>
          <w:r w:rsidRPr="000F3EDE">
            <w:rPr>
              <w:rFonts w:eastAsia="Times New Roman"/>
              <w:bCs/>
            </w:rPr>
            <w:t xml:space="preserve">Gosling, S. (2025, February 13). </w:t>
          </w:r>
          <w:r w:rsidRPr="000F3EDE">
            <w:rPr>
              <w:rFonts w:eastAsia="Times New Roman"/>
              <w:bCs/>
              <w:i/>
              <w:iCs/>
            </w:rPr>
            <w:t>What do US consumers want from e-commerce deliveries? | McKinsey</w:t>
          </w:r>
          <w:r w:rsidRPr="000F3EDE">
            <w:rPr>
              <w:rFonts w:eastAsia="Times New Roman"/>
              <w:bCs/>
            </w:rPr>
            <w:t>. https://www.mckinsey.com/industries/logistics/our-insights/what-do-us-consumers-want-from-e-commerce-deliveries</w:t>
          </w:r>
        </w:p>
        <w:p w14:paraId="0CC10B6E" w14:textId="77777777" w:rsidR="000F3EDE" w:rsidRPr="000F3EDE" w:rsidRDefault="000F3EDE">
          <w:pPr>
            <w:autoSpaceDE w:val="0"/>
            <w:autoSpaceDN w:val="0"/>
            <w:ind w:hanging="480"/>
            <w:divId w:val="58554378"/>
            <w:rPr>
              <w:rFonts w:eastAsia="Times New Roman"/>
              <w:bCs/>
            </w:rPr>
          </w:pPr>
          <w:proofErr w:type="spellStart"/>
          <w:r w:rsidRPr="000F3EDE">
            <w:rPr>
              <w:rFonts w:eastAsia="Times New Roman"/>
              <w:bCs/>
            </w:rPr>
            <w:t>Shanakar</w:t>
          </w:r>
          <w:proofErr w:type="spellEnd"/>
          <w:r w:rsidRPr="000F3EDE">
            <w:rPr>
              <w:rFonts w:eastAsia="Times New Roman"/>
              <w:bCs/>
            </w:rPr>
            <w:t xml:space="preserve">, S., &amp; S, B. (2024). Logistics Challenges in E-Commerce During Peak Season. </w:t>
          </w:r>
          <w:r w:rsidRPr="000F3EDE">
            <w:rPr>
              <w:rFonts w:eastAsia="Times New Roman"/>
              <w:bCs/>
              <w:i/>
              <w:iCs/>
            </w:rPr>
            <w:t>International Journal of Innovative Research in Science, Engineering and Technology</w:t>
          </w:r>
          <w:r w:rsidRPr="000F3EDE">
            <w:rPr>
              <w:rFonts w:eastAsia="Times New Roman"/>
              <w:bCs/>
            </w:rPr>
            <w:t xml:space="preserve">, </w:t>
          </w:r>
          <w:r w:rsidRPr="000F3EDE">
            <w:rPr>
              <w:rFonts w:eastAsia="Times New Roman"/>
              <w:bCs/>
              <w:i/>
              <w:iCs/>
            </w:rPr>
            <w:t>13</w:t>
          </w:r>
          <w:r w:rsidRPr="000F3EDE">
            <w:rPr>
              <w:rFonts w:eastAsia="Times New Roman"/>
              <w:bCs/>
            </w:rPr>
            <w:t>(12). https://doi.org/10.15680/IJIRSET.2024.1312170</w:t>
          </w:r>
        </w:p>
        <w:p w14:paraId="1E96FE00" w14:textId="64E04164" w:rsidR="000F3EDE" w:rsidRPr="000F3EDE" w:rsidRDefault="000F3EDE" w:rsidP="000F3EDE">
          <w:pPr>
            <w:jc w:val="left"/>
            <w:rPr>
              <w:b/>
              <w:bCs/>
            </w:rPr>
          </w:pPr>
          <w:r w:rsidRPr="000F3EDE">
            <w:rPr>
              <w:rFonts w:eastAsia="Times New Roman"/>
              <w:b/>
            </w:rPr>
            <w:t> </w:t>
          </w:r>
        </w:p>
      </w:sdtContent>
    </w:sdt>
    <w:p w14:paraId="3E15EB59" w14:textId="77777777" w:rsidR="000F3EDE" w:rsidRDefault="000F3EDE" w:rsidP="000F3EDE">
      <w:pPr>
        <w:jc w:val="center"/>
        <w:rPr>
          <w:b/>
          <w:bCs/>
        </w:rPr>
      </w:pPr>
      <w:r w:rsidRPr="000F3EDE">
        <w:rPr>
          <w:b/>
          <w:bCs/>
        </w:rPr>
        <w:t>APPENDIX</w:t>
      </w:r>
    </w:p>
    <w:p w14:paraId="1A17D4E6" w14:textId="349874E0" w:rsidR="000F3EDE" w:rsidRDefault="000F3EDE" w:rsidP="000F3EDE">
      <w:pPr>
        <w:jc w:val="left"/>
        <w:rPr>
          <w:b/>
          <w:bCs/>
        </w:rPr>
      </w:pPr>
      <w:bookmarkStart w:id="0" w:name="OLE_LINK1"/>
      <w:r>
        <w:rPr>
          <w:b/>
          <w:bCs/>
        </w:rPr>
        <w:t>Figure 1: Sales Revenue and Order Volume Timeline</w:t>
      </w:r>
    </w:p>
    <w:bookmarkEnd w:id="0"/>
    <w:p w14:paraId="102F840A" w14:textId="7106249E" w:rsidR="000F3EDE" w:rsidRDefault="000F3EDE" w:rsidP="000F3EDE">
      <w:pPr>
        <w:jc w:val="center"/>
        <w:rPr>
          <w:b/>
          <w:bCs/>
        </w:rPr>
      </w:pPr>
      <w:r>
        <w:rPr>
          <w:noProof/>
        </w:rPr>
        <w:drawing>
          <wp:inline distT="0" distB="0" distL="0" distR="0" wp14:anchorId="5086343C" wp14:editId="1848C51E">
            <wp:extent cx="6642100" cy="4124960"/>
            <wp:effectExtent l="0" t="0" r="12700" b="15240"/>
            <wp:docPr id="1505298939" name="Chart 1">
              <a:extLst xmlns:a="http://schemas.openxmlformats.org/drawingml/2006/main">
                <a:ext uri="{FF2B5EF4-FFF2-40B4-BE49-F238E27FC236}">
                  <a16:creationId xmlns:a16="http://schemas.microsoft.com/office/drawing/2014/main" id="{E7980E07-951A-2942-80DE-24EDAEEF34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3C807BE" w14:textId="77777777" w:rsidR="00E46893" w:rsidRDefault="00E46893" w:rsidP="00E46893">
      <w:pPr>
        <w:ind w:firstLine="720"/>
      </w:pPr>
      <w:r>
        <w:t>Note. Developed for this report.</w:t>
      </w:r>
    </w:p>
    <w:p w14:paraId="13B7C473" w14:textId="5A4BE15D" w:rsidR="000F3EDE" w:rsidRDefault="000F3EDE">
      <w:pPr>
        <w:spacing w:before="0" w:line="278" w:lineRule="auto"/>
        <w:jc w:val="left"/>
        <w:rPr>
          <w:b/>
          <w:bCs/>
        </w:rPr>
      </w:pPr>
    </w:p>
    <w:p w14:paraId="382FB0BF" w14:textId="77777777" w:rsidR="000F3EDE" w:rsidRDefault="000F3EDE">
      <w:pPr>
        <w:spacing w:before="0" w:line="278" w:lineRule="auto"/>
        <w:jc w:val="left"/>
        <w:rPr>
          <w:b/>
          <w:bCs/>
        </w:rPr>
      </w:pPr>
    </w:p>
    <w:p w14:paraId="406FCAEB" w14:textId="77777777" w:rsidR="000F3EDE" w:rsidRDefault="000F3EDE">
      <w:pPr>
        <w:spacing w:before="0" w:line="278" w:lineRule="auto"/>
        <w:jc w:val="left"/>
        <w:rPr>
          <w:b/>
          <w:bCs/>
        </w:rPr>
      </w:pPr>
    </w:p>
    <w:p w14:paraId="746D928A" w14:textId="72C06767" w:rsidR="000F3EDE" w:rsidRDefault="000F3EDE" w:rsidP="000F3EDE">
      <w:pPr>
        <w:jc w:val="left"/>
        <w:rPr>
          <w:b/>
          <w:bCs/>
        </w:rPr>
      </w:pPr>
      <w:r>
        <w:rPr>
          <w:b/>
          <w:bCs/>
        </w:rPr>
        <w:t>Figure 2: Top 10 product categories based on order volume</w:t>
      </w:r>
    </w:p>
    <w:p w14:paraId="2C2A3368" w14:textId="34445E73" w:rsidR="00E46893" w:rsidRDefault="00E46893" w:rsidP="000F3EDE">
      <w:pPr>
        <w:jc w:val="left"/>
        <w:rPr>
          <w:b/>
          <w:bCs/>
        </w:rPr>
      </w:pPr>
      <w:r>
        <w:rPr>
          <w:noProof/>
        </w:rPr>
        <w:drawing>
          <wp:inline distT="0" distB="0" distL="0" distR="0" wp14:anchorId="3DE82D61" wp14:editId="38A8F26C">
            <wp:extent cx="6642100" cy="5118100"/>
            <wp:effectExtent l="0" t="0" r="12700" b="12700"/>
            <wp:docPr id="2078826803" name="Chart 1">
              <a:extLst xmlns:a="http://schemas.openxmlformats.org/drawingml/2006/main">
                <a:ext uri="{FF2B5EF4-FFF2-40B4-BE49-F238E27FC236}">
                  <a16:creationId xmlns:a16="http://schemas.microsoft.com/office/drawing/2014/main" id="{0D444450-63C6-0F46-80AA-73B11563DE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DABBD1D" w14:textId="77777777" w:rsidR="00E46893" w:rsidRDefault="00E46893" w:rsidP="00E46893">
      <w:pPr>
        <w:ind w:firstLine="720"/>
      </w:pPr>
      <w:r>
        <w:t>Note. Developed for this report.</w:t>
      </w:r>
    </w:p>
    <w:p w14:paraId="2EEC3513" w14:textId="507CFF5A" w:rsidR="00E46893" w:rsidRDefault="00E46893" w:rsidP="00E46893">
      <w:pPr>
        <w:jc w:val="left"/>
        <w:rPr>
          <w:b/>
          <w:bCs/>
        </w:rPr>
      </w:pPr>
      <w:r>
        <w:rPr>
          <w:b/>
          <w:bCs/>
          <w:noProof/>
        </w:rPr>
        <w:drawing>
          <wp:anchor distT="0" distB="0" distL="114300" distR="114300" simplePos="0" relativeHeight="251658240" behindDoc="0" locked="0" layoutInCell="1" allowOverlap="1" wp14:anchorId="2A6095FC" wp14:editId="282D264C">
            <wp:simplePos x="0" y="0"/>
            <wp:positionH relativeFrom="column">
              <wp:posOffset>902571</wp:posOffset>
            </wp:positionH>
            <wp:positionV relativeFrom="paragraph">
              <wp:posOffset>322772</wp:posOffset>
            </wp:positionV>
            <wp:extent cx="4624705" cy="2160905"/>
            <wp:effectExtent l="0" t="0" r="0" b="0"/>
            <wp:wrapNone/>
            <wp:docPr id="54788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88694" name="Picture 547888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4705" cy="2160905"/>
                    </a:xfrm>
                    <a:prstGeom prst="rect">
                      <a:avLst/>
                    </a:prstGeom>
                  </pic:spPr>
                </pic:pic>
              </a:graphicData>
            </a:graphic>
            <wp14:sizeRelH relativeFrom="page">
              <wp14:pctWidth>0</wp14:pctWidth>
            </wp14:sizeRelH>
            <wp14:sizeRelV relativeFrom="page">
              <wp14:pctHeight>0</wp14:pctHeight>
            </wp14:sizeRelV>
          </wp:anchor>
        </w:drawing>
      </w:r>
      <w:r>
        <w:rPr>
          <w:b/>
          <w:bCs/>
        </w:rPr>
        <w:t>Figure 3: Average customer rating based on timeliness of review option</w:t>
      </w:r>
    </w:p>
    <w:p w14:paraId="7C3807F8" w14:textId="2622982C" w:rsidR="00E46893" w:rsidRDefault="00E46893" w:rsidP="00E46893">
      <w:pPr>
        <w:jc w:val="left"/>
        <w:rPr>
          <w:b/>
          <w:bCs/>
        </w:rPr>
      </w:pPr>
    </w:p>
    <w:p w14:paraId="2621B957" w14:textId="45B91634" w:rsidR="00E46893" w:rsidRDefault="00E46893" w:rsidP="00E46893">
      <w:pPr>
        <w:jc w:val="left"/>
        <w:rPr>
          <w:b/>
          <w:bCs/>
        </w:rPr>
      </w:pPr>
    </w:p>
    <w:p w14:paraId="27AB6612" w14:textId="469C0F8B" w:rsidR="00E46893" w:rsidRDefault="00E46893" w:rsidP="00E46893">
      <w:pPr>
        <w:jc w:val="left"/>
        <w:rPr>
          <w:b/>
          <w:bCs/>
        </w:rPr>
      </w:pPr>
    </w:p>
    <w:p w14:paraId="0733DAE2" w14:textId="08991CC0" w:rsidR="00E46893" w:rsidRDefault="00E46893" w:rsidP="00E46893">
      <w:pPr>
        <w:jc w:val="left"/>
        <w:rPr>
          <w:b/>
          <w:bCs/>
        </w:rPr>
      </w:pPr>
    </w:p>
    <w:p w14:paraId="77E03198" w14:textId="6D41B561" w:rsidR="00E46893" w:rsidRDefault="00E46893" w:rsidP="00E46893">
      <w:pPr>
        <w:jc w:val="left"/>
        <w:rPr>
          <w:b/>
          <w:bCs/>
        </w:rPr>
      </w:pPr>
    </w:p>
    <w:p w14:paraId="4794FCAD" w14:textId="77777777" w:rsidR="00E46893" w:rsidRDefault="00E46893" w:rsidP="00E46893">
      <w:pPr>
        <w:ind w:firstLine="720"/>
      </w:pPr>
      <w:r>
        <w:t>Note. Developed for this report.</w:t>
      </w:r>
    </w:p>
    <w:p w14:paraId="400092A2" w14:textId="3A851021" w:rsidR="002C341C" w:rsidRPr="000F3EDE" w:rsidRDefault="002C341C" w:rsidP="000F3EDE">
      <w:pPr>
        <w:jc w:val="left"/>
        <w:rPr>
          <w:b/>
          <w:bCs/>
        </w:rPr>
      </w:pPr>
    </w:p>
    <w:sectPr w:rsidR="002C341C" w:rsidRPr="000F3EDE" w:rsidSect="00C54AC6">
      <w:pgSz w:w="11900" w:h="168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C6"/>
    <w:rsid w:val="00000B76"/>
    <w:rsid w:val="000431F6"/>
    <w:rsid w:val="000528ED"/>
    <w:rsid w:val="00095F97"/>
    <w:rsid w:val="000F3EDE"/>
    <w:rsid w:val="00123A5E"/>
    <w:rsid w:val="001658E1"/>
    <w:rsid w:val="002578FA"/>
    <w:rsid w:val="002C341C"/>
    <w:rsid w:val="004563C4"/>
    <w:rsid w:val="005076DB"/>
    <w:rsid w:val="0066605D"/>
    <w:rsid w:val="0073435D"/>
    <w:rsid w:val="007E5298"/>
    <w:rsid w:val="00957412"/>
    <w:rsid w:val="00AA1D55"/>
    <w:rsid w:val="00AC046E"/>
    <w:rsid w:val="00AD2A29"/>
    <w:rsid w:val="00B02892"/>
    <w:rsid w:val="00B95193"/>
    <w:rsid w:val="00C54AC6"/>
    <w:rsid w:val="00DD6B02"/>
    <w:rsid w:val="00E46893"/>
    <w:rsid w:val="00EC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AB117"/>
  <w15:chartTrackingRefBased/>
  <w15:docId w15:val="{42AC7719-DDCC-2B49-A70C-F0009ED0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A5E"/>
    <w:pPr>
      <w:spacing w:before="240" w:line="360" w:lineRule="auto"/>
      <w:jc w:val="both"/>
    </w:pPr>
    <w:rPr>
      <w:rFonts w:ascii="Arial" w:eastAsiaTheme="minorEastAsia" w:hAnsi="Arial" w:cs="Arial"/>
      <w:color w:val="000000"/>
    </w:rPr>
  </w:style>
  <w:style w:type="paragraph" w:styleId="Heading1">
    <w:name w:val="heading 1"/>
    <w:basedOn w:val="Normal"/>
    <w:next w:val="Normal"/>
    <w:link w:val="Heading1Char"/>
    <w:uiPriority w:val="9"/>
    <w:qFormat/>
    <w:rsid w:val="00123A5E"/>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123A5E"/>
    <w:pPr>
      <w:ind w:firstLine="720"/>
      <w:outlineLvl w:val="1"/>
    </w:pPr>
    <w:rPr>
      <w:u w:val="single"/>
    </w:rPr>
  </w:style>
  <w:style w:type="paragraph" w:styleId="Heading3">
    <w:name w:val="heading 3"/>
    <w:basedOn w:val="Normal"/>
    <w:next w:val="Normal"/>
    <w:link w:val="Heading3Char"/>
    <w:uiPriority w:val="9"/>
    <w:unhideWhenUsed/>
    <w:qFormat/>
    <w:rsid w:val="00123A5E"/>
    <w:pPr>
      <w:outlineLvl w:val="2"/>
    </w:pPr>
    <w:rPr>
      <w:rFonts w:ascii="Times New Roman" w:hAnsi="Times New Roman" w:cs="Times New Roman"/>
      <w:i/>
      <w:iCs/>
    </w:rPr>
  </w:style>
  <w:style w:type="paragraph" w:styleId="Heading4">
    <w:name w:val="heading 4"/>
    <w:basedOn w:val="Normal"/>
    <w:next w:val="Normal"/>
    <w:link w:val="Heading4Char"/>
    <w:uiPriority w:val="9"/>
    <w:semiHidden/>
    <w:unhideWhenUsed/>
    <w:qFormat/>
    <w:rsid w:val="00C54A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4A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4A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4A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4AC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4AC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5E"/>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123A5E"/>
    <w:rPr>
      <w:rFonts w:ascii="Arial" w:hAnsi="Arial" w:cs="Arial"/>
      <w:u w:val="single"/>
    </w:rPr>
  </w:style>
  <w:style w:type="character" w:customStyle="1" w:styleId="Heading3Char">
    <w:name w:val="Heading 3 Char"/>
    <w:basedOn w:val="DefaultParagraphFont"/>
    <w:link w:val="Heading3"/>
    <w:uiPriority w:val="9"/>
    <w:rsid w:val="00123A5E"/>
    <w:rPr>
      <w:rFonts w:ascii="Times New Roman" w:hAnsi="Times New Roman" w:cs="Times New Roman"/>
      <w:i/>
      <w:iCs/>
    </w:rPr>
  </w:style>
  <w:style w:type="character" w:customStyle="1" w:styleId="Heading4Char">
    <w:name w:val="Heading 4 Char"/>
    <w:basedOn w:val="DefaultParagraphFont"/>
    <w:link w:val="Heading4"/>
    <w:uiPriority w:val="9"/>
    <w:semiHidden/>
    <w:rsid w:val="00C54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AC6"/>
    <w:rPr>
      <w:rFonts w:eastAsiaTheme="majorEastAsia" w:cstheme="majorBidi"/>
      <w:color w:val="272727" w:themeColor="text1" w:themeTint="D8"/>
    </w:rPr>
  </w:style>
  <w:style w:type="paragraph" w:styleId="Title">
    <w:name w:val="Title"/>
    <w:basedOn w:val="Normal"/>
    <w:next w:val="Normal"/>
    <w:link w:val="TitleChar"/>
    <w:uiPriority w:val="10"/>
    <w:qFormat/>
    <w:rsid w:val="00C54AC6"/>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54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A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AC6"/>
    <w:pPr>
      <w:spacing w:before="160"/>
      <w:jc w:val="center"/>
    </w:pPr>
    <w:rPr>
      <w:i/>
      <w:iCs/>
      <w:color w:val="404040" w:themeColor="text1" w:themeTint="BF"/>
    </w:rPr>
  </w:style>
  <w:style w:type="character" w:customStyle="1" w:styleId="QuoteChar">
    <w:name w:val="Quote Char"/>
    <w:basedOn w:val="DefaultParagraphFont"/>
    <w:link w:val="Quote"/>
    <w:uiPriority w:val="29"/>
    <w:rsid w:val="00C54AC6"/>
    <w:rPr>
      <w:rFonts w:ascii="Arial" w:eastAsiaTheme="minorEastAsia" w:hAnsi="Arial" w:cs="Arial"/>
      <w:i/>
      <w:iCs/>
      <w:color w:val="404040" w:themeColor="text1" w:themeTint="BF"/>
    </w:rPr>
  </w:style>
  <w:style w:type="paragraph" w:styleId="ListParagraph">
    <w:name w:val="List Paragraph"/>
    <w:basedOn w:val="Normal"/>
    <w:uiPriority w:val="34"/>
    <w:qFormat/>
    <w:rsid w:val="00C54AC6"/>
    <w:pPr>
      <w:ind w:left="720"/>
      <w:contextualSpacing/>
    </w:pPr>
  </w:style>
  <w:style w:type="character" w:styleId="IntenseEmphasis">
    <w:name w:val="Intense Emphasis"/>
    <w:basedOn w:val="DefaultParagraphFont"/>
    <w:uiPriority w:val="21"/>
    <w:qFormat/>
    <w:rsid w:val="00C54AC6"/>
    <w:rPr>
      <w:i/>
      <w:iCs/>
      <w:color w:val="0F4761" w:themeColor="accent1" w:themeShade="BF"/>
    </w:rPr>
  </w:style>
  <w:style w:type="paragraph" w:styleId="IntenseQuote">
    <w:name w:val="Intense Quote"/>
    <w:basedOn w:val="Normal"/>
    <w:next w:val="Normal"/>
    <w:link w:val="IntenseQuoteChar"/>
    <w:uiPriority w:val="30"/>
    <w:qFormat/>
    <w:rsid w:val="00C54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AC6"/>
    <w:rPr>
      <w:rFonts w:ascii="Arial" w:eastAsiaTheme="minorEastAsia" w:hAnsi="Arial" w:cs="Arial"/>
      <w:i/>
      <w:iCs/>
      <w:color w:val="0F4761" w:themeColor="accent1" w:themeShade="BF"/>
    </w:rPr>
  </w:style>
  <w:style w:type="character" w:styleId="IntenseReference">
    <w:name w:val="Intense Reference"/>
    <w:basedOn w:val="DefaultParagraphFont"/>
    <w:uiPriority w:val="32"/>
    <w:qFormat/>
    <w:rsid w:val="00C54AC6"/>
    <w:rPr>
      <w:b/>
      <w:bCs/>
      <w:smallCaps/>
      <w:color w:val="0F4761" w:themeColor="accent1" w:themeShade="BF"/>
      <w:spacing w:val="5"/>
    </w:rPr>
  </w:style>
  <w:style w:type="character" w:styleId="PlaceholderText">
    <w:name w:val="Placeholder Text"/>
    <w:basedOn w:val="DefaultParagraphFont"/>
    <w:uiPriority w:val="99"/>
    <w:semiHidden/>
    <w:rsid w:val="00DD6B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4378">
      <w:marLeft w:val="480"/>
      <w:marRight w:val="0"/>
      <w:marTop w:val="0"/>
      <w:marBottom w:val="0"/>
      <w:divBdr>
        <w:top w:val="none" w:sz="0" w:space="0" w:color="auto"/>
        <w:left w:val="none" w:sz="0" w:space="0" w:color="auto"/>
        <w:bottom w:val="none" w:sz="0" w:space="0" w:color="auto"/>
        <w:right w:val="none" w:sz="0" w:space="0" w:color="auto"/>
      </w:divBdr>
    </w:div>
    <w:div w:id="575896121">
      <w:marLeft w:val="480"/>
      <w:marRight w:val="0"/>
      <w:marTop w:val="0"/>
      <w:marBottom w:val="0"/>
      <w:divBdr>
        <w:top w:val="none" w:sz="0" w:space="0" w:color="auto"/>
        <w:left w:val="none" w:sz="0" w:space="0" w:color="auto"/>
        <w:bottom w:val="none" w:sz="0" w:space="0" w:color="auto"/>
        <w:right w:val="none" w:sz="0" w:space="0" w:color="auto"/>
      </w:divBdr>
    </w:div>
    <w:div w:id="597446745">
      <w:marLeft w:val="480"/>
      <w:marRight w:val="0"/>
      <w:marTop w:val="0"/>
      <w:marBottom w:val="0"/>
      <w:divBdr>
        <w:top w:val="none" w:sz="0" w:space="0" w:color="auto"/>
        <w:left w:val="none" w:sz="0" w:space="0" w:color="auto"/>
        <w:bottom w:val="none" w:sz="0" w:space="0" w:color="auto"/>
        <w:right w:val="none" w:sz="0" w:space="0" w:color="auto"/>
      </w:divBdr>
    </w:div>
    <w:div w:id="980841519">
      <w:marLeft w:val="480"/>
      <w:marRight w:val="0"/>
      <w:marTop w:val="0"/>
      <w:marBottom w:val="0"/>
      <w:divBdr>
        <w:top w:val="none" w:sz="0" w:space="0" w:color="auto"/>
        <w:left w:val="none" w:sz="0" w:space="0" w:color="auto"/>
        <w:bottom w:val="none" w:sz="0" w:space="0" w:color="auto"/>
        <w:right w:val="none" w:sz="0" w:space="0" w:color="auto"/>
      </w:divBdr>
    </w:div>
    <w:div w:id="1159228439">
      <w:marLeft w:val="480"/>
      <w:marRight w:val="0"/>
      <w:marTop w:val="0"/>
      <w:marBottom w:val="0"/>
      <w:divBdr>
        <w:top w:val="none" w:sz="0" w:space="0" w:color="auto"/>
        <w:left w:val="none" w:sz="0" w:space="0" w:color="auto"/>
        <w:bottom w:val="none" w:sz="0" w:space="0" w:color="auto"/>
        <w:right w:val="none" w:sz="0" w:space="0" w:color="auto"/>
      </w:divBdr>
    </w:div>
    <w:div w:id="150277021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file:////Users/kevinvitto/Library/CloudStorage/OneDrive-WhitireiaandWelTec/Desktop/Vitto_31March/Assessment%202/Workbook%20Final.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kevinvitto/Library/CloudStorage/OneDrive-WhitireiaandWelTec/Desktop/Vitto_31March/Assessment%202/Workbook%20Final.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0863109038825"/>
          <c:y val="0.21324360412276133"/>
          <c:w val="0.6826195865696878"/>
          <c:h val="0.5548483084370508"/>
        </c:manualLayout>
      </c:layout>
      <c:lineChart>
        <c:grouping val="standard"/>
        <c:varyColors val="0"/>
        <c:ser>
          <c:idx val="0"/>
          <c:order val="0"/>
          <c:tx>
            <c:strRef>
              <c:f>'Business Performance'!$C$34</c:f>
              <c:strCache>
                <c:ptCount val="1"/>
                <c:pt idx="0">
                  <c:v>Sales Revenue</c:v>
                </c:pt>
              </c:strCache>
            </c:strRef>
          </c:tx>
          <c:spPr>
            <a:ln w="28575" cap="rnd">
              <a:solidFill>
                <a:schemeClr val="tx1">
                  <a:lumMod val="50000"/>
                  <a:lumOff val="50000"/>
                </a:schemeClr>
              </a:solidFill>
              <a:round/>
            </a:ln>
            <a:effectLst/>
          </c:spPr>
          <c:marker>
            <c:symbol val="none"/>
          </c:marker>
          <c:cat>
            <c:multiLvlStrRef>
              <c:f>'Business Performance'!$A$35:$B$54</c:f>
              <c:multiLvlStrCache>
                <c:ptCount val="2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lvl>
                <c:lvl>
                  <c:pt idx="0">
                    <c:v>2017</c:v>
                  </c:pt>
                  <c:pt idx="12">
                    <c:v>2018</c:v>
                  </c:pt>
                </c:lvl>
              </c:multiLvlStrCache>
            </c:multiLvlStrRef>
          </c:cat>
          <c:val>
            <c:numRef>
              <c:f>'Business Performance'!$C$35:$C$54</c:f>
              <c:numCache>
                <c:formatCode>0</c:formatCode>
                <c:ptCount val="20"/>
                <c:pt idx="0">
                  <c:v>127545.66999999988</c:v>
                </c:pt>
                <c:pt idx="1">
                  <c:v>271298.64999999967</c:v>
                </c:pt>
                <c:pt idx="2">
                  <c:v>414369.39000000036</c:v>
                </c:pt>
                <c:pt idx="3">
                  <c:v>390952.18000000081</c:v>
                </c:pt>
                <c:pt idx="4">
                  <c:v>567066.73000000173</c:v>
                </c:pt>
                <c:pt idx="5">
                  <c:v>490225.60000000393</c:v>
                </c:pt>
                <c:pt idx="6">
                  <c:v>566403.93000000319</c:v>
                </c:pt>
                <c:pt idx="7">
                  <c:v>646000.6100000029</c:v>
                </c:pt>
                <c:pt idx="8">
                  <c:v>701169.98999999848</c:v>
                </c:pt>
                <c:pt idx="9">
                  <c:v>751140.27000000048</c:v>
                </c:pt>
                <c:pt idx="10">
                  <c:v>1153528.0499999952</c:v>
                </c:pt>
                <c:pt idx="11">
                  <c:v>843199.16999999841</c:v>
                </c:pt>
                <c:pt idx="12">
                  <c:v>1078606.8600000006</c:v>
                </c:pt>
                <c:pt idx="13">
                  <c:v>966510.88</c:v>
                </c:pt>
                <c:pt idx="14">
                  <c:v>1120677.9999999979</c:v>
                </c:pt>
                <c:pt idx="15">
                  <c:v>1132933.9499999967</c:v>
                </c:pt>
                <c:pt idx="16">
                  <c:v>1128836.689999999</c:v>
                </c:pt>
                <c:pt idx="17">
                  <c:v>1012090.6799999982</c:v>
                </c:pt>
                <c:pt idx="18">
                  <c:v>1027903.8599999986</c:v>
                </c:pt>
                <c:pt idx="19">
                  <c:v>985414.27999999817</c:v>
                </c:pt>
              </c:numCache>
            </c:numRef>
          </c:val>
          <c:smooth val="0"/>
          <c:extLst>
            <c:ext xmlns:c16="http://schemas.microsoft.com/office/drawing/2014/chart" uri="{C3380CC4-5D6E-409C-BE32-E72D297353CC}">
              <c16:uniqueId val="{00000000-F6CE-2147-BA42-143F14586E88}"/>
            </c:ext>
          </c:extLst>
        </c:ser>
        <c:dLbls>
          <c:showLegendKey val="0"/>
          <c:showVal val="0"/>
          <c:showCatName val="0"/>
          <c:showSerName val="0"/>
          <c:showPercent val="0"/>
          <c:showBubbleSize val="0"/>
        </c:dLbls>
        <c:marker val="1"/>
        <c:smooth val="0"/>
        <c:axId val="1870570959"/>
        <c:axId val="1870406895"/>
      </c:lineChart>
      <c:lineChart>
        <c:grouping val="standard"/>
        <c:varyColors val="0"/>
        <c:ser>
          <c:idx val="1"/>
          <c:order val="1"/>
          <c:tx>
            <c:strRef>
              <c:f>'Business Performance'!$D$34</c:f>
              <c:strCache>
                <c:ptCount val="1"/>
                <c:pt idx="0">
                  <c:v>Order Volume</c:v>
                </c:pt>
              </c:strCache>
            </c:strRef>
          </c:tx>
          <c:spPr>
            <a:ln w="28575" cap="rnd">
              <a:solidFill>
                <a:schemeClr val="tx1"/>
              </a:solidFill>
              <a:round/>
            </a:ln>
            <a:effectLst/>
          </c:spPr>
          <c:marker>
            <c:symbol val="none"/>
          </c:marker>
          <c:dPt>
            <c:idx val="10"/>
            <c:marker>
              <c:symbol val="circle"/>
              <c:size val="10"/>
              <c:spPr>
                <a:solidFill>
                  <a:schemeClr val="tx1"/>
                </a:solidFill>
                <a:ln w="9525">
                  <a:solidFill>
                    <a:schemeClr val="tx1"/>
                  </a:solidFill>
                </a:ln>
                <a:effectLst/>
              </c:spPr>
            </c:marker>
            <c:bubble3D val="0"/>
            <c:extLst>
              <c:ext xmlns:c16="http://schemas.microsoft.com/office/drawing/2014/chart" uri="{C3380CC4-5D6E-409C-BE32-E72D297353CC}">
                <c16:uniqueId val="{00000001-F6CE-2147-BA42-143F14586E88}"/>
              </c:ext>
            </c:extLst>
          </c:dPt>
          <c:dPt>
            <c:idx val="12"/>
            <c:marker>
              <c:symbol val="circle"/>
              <c:size val="10"/>
              <c:spPr>
                <a:solidFill>
                  <a:schemeClr val="tx1"/>
                </a:solidFill>
                <a:ln w="9525">
                  <a:solidFill>
                    <a:schemeClr val="tx1"/>
                  </a:solidFill>
                </a:ln>
                <a:effectLst/>
              </c:spPr>
            </c:marker>
            <c:bubble3D val="0"/>
            <c:extLst>
              <c:ext xmlns:c16="http://schemas.microsoft.com/office/drawing/2014/chart" uri="{C3380CC4-5D6E-409C-BE32-E72D297353CC}">
                <c16:uniqueId val="{00000002-F6CE-2147-BA42-143F14586E88}"/>
              </c:ext>
            </c:extLst>
          </c:dPt>
          <c:dPt>
            <c:idx val="14"/>
            <c:marker>
              <c:symbol val="circle"/>
              <c:size val="10"/>
              <c:spPr>
                <a:solidFill>
                  <a:schemeClr val="tx1"/>
                </a:solidFill>
                <a:ln w="9525">
                  <a:solidFill>
                    <a:schemeClr val="tx1"/>
                  </a:solidFill>
                </a:ln>
                <a:effectLst/>
              </c:spPr>
            </c:marker>
            <c:bubble3D val="0"/>
            <c:extLst>
              <c:ext xmlns:c16="http://schemas.microsoft.com/office/drawing/2014/chart" uri="{C3380CC4-5D6E-409C-BE32-E72D297353CC}">
                <c16:uniqueId val="{00000003-F6CE-2147-BA42-143F14586E88}"/>
              </c:ext>
            </c:extLst>
          </c:dPt>
          <c:cat>
            <c:multiLvlStrRef>
              <c:f>'Business Performance'!$A$35:$B$54</c:f>
              <c:multiLvlStrCache>
                <c:ptCount val="2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lvl>
                <c:lvl>
                  <c:pt idx="0">
                    <c:v>2017</c:v>
                  </c:pt>
                  <c:pt idx="12">
                    <c:v>2018</c:v>
                  </c:pt>
                </c:lvl>
              </c:multiLvlStrCache>
            </c:multiLvlStrRef>
          </c:cat>
          <c:val>
            <c:numRef>
              <c:f>'Business Performance'!$D$35:$D$54</c:f>
              <c:numCache>
                <c:formatCode>General</c:formatCode>
                <c:ptCount val="20"/>
                <c:pt idx="0">
                  <c:v>750</c:v>
                </c:pt>
                <c:pt idx="1">
                  <c:v>1653</c:v>
                </c:pt>
                <c:pt idx="2">
                  <c:v>2546</c:v>
                </c:pt>
                <c:pt idx="3">
                  <c:v>2303</c:v>
                </c:pt>
                <c:pt idx="4">
                  <c:v>3546</c:v>
                </c:pt>
                <c:pt idx="5">
                  <c:v>3135</c:v>
                </c:pt>
                <c:pt idx="6">
                  <c:v>3872</c:v>
                </c:pt>
                <c:pt idx="7">
                  <c:v>4193</c:v>
                </c:pt>
                <c:pt idx="8">
                  <c:v>4150</c:v>
                </c:pt>
                <c:pt idx="9">
                  <c:v>4478</c:v>
                </c:pt>
                <c:pt idx="10">
                  <c:v>7289</c:v>
                </c:pt>
                <c:pt idx="11">
                  <c:v>5513</c:v>
                </c:pt>
                <c:pt idx="12">
                  <c:v>7069</c:v>
                </c:pt>
                <c:pt idx="13">
                  <c:v>6555</c:v>
                </c:pt>
                <c:pt idx="14">
                  <c:v>7003</c:v>
                </c:pt>
                <c:pt idx="15">
                  <c:v>6798</c:v>
                </c:pt>
                <c:pt idx="16">
                  <c:v>6749</c:v>
                </c:pt>
                <c:pt idx="17">
                  <c:v>6099</c:v>
                </c:pt>
                <c:pt idx="18">
                  <c:v>6159</c:v>
                </c:pt>
                <c:pt idx="19">
                  <c:v>6351</c:v>
                </c:pt>
              </c:numCache>
            </c:numRef>
          </c:val>
          <c:smooth val="0"/>
          <c:extLst>
            <c:ext xmlns:c16="http://schemas.microsoft.com/office/drawing/2014/chart" uri="{C3380CC4-5D6E-409C-BE32-E72D297353CC}">
              <c16:uniqueId val="{00000004-F6CE-2147-BA42-143F14586E88}"/>
            </c:ext>
          </c:extLst>
        </c:ser>
        <c:dLbls>
          <c:showLegendKey val="0"/>
          <c:showVal val="0"/>
          <c:showCatName val="0"/>
          <c:showSerName val="0"/>
          <c:showPercent val="0"/>
          <c:showBubbleSize val="0"/>
        </c:dLbls>
        <c:marker val="1"/>
        <c:smooth val="0"/>
        <c:axId val="1910565087"/>
        <c:axId val="1910530447"/>
      </c:lineChart>
      <c:catAx>
        <c:axId val="18705709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Avenir Light" panose="020B0402020203020204" pitchFamily="34" charset="77"/>
                <a:ea typeface="+mn-ea"/>
                <a:cs typeface="+mn-cs"/>
              </a:defRPr>
            </a:pPr>
            <a:endParaRPr lang="en-US"/>
          </a:p>
        </c:txPr>
        <c:crossAx val="1870406895"/>
        <c:crosses val="autoZero"/>
        <c:auto val="1"/>
        <c:lblAlgn val="ctr"/>
        <c:lblOffset val="100"/>
        <c:noMultiLvlLbl val="0"/>
      </c:catAx>
      <c:valAx>
        <c:axId val="187040689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0" i="0">
                    <a:latin typeface="Avenir Light" panose="020B0402020203020204" pitchFamily="34" charset="77"/>
                  </a:rPr>
                  <a:t>SALES REVENUE</a:t>
                </a:r>
              </a:p>
            </c:rich>
          </c:tx>
          <c:layout>
            <c:manualLayout>
              <c:xMode val="edge"/>
              <c:yMode val="edge"/>
              <c:x val="1.3957784435645354E-2"/>
              <c:y val="0.190197965556029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venir Book" panose="02000503020000020003" pitchFamily="2" charset="0"/>
                <a:ea typeface="+mn-ea"/>
                <a:cs typeface="+mn-cs"/>
              </a:defRPr>
            </a:pPr>
            <a:endParaRPr lang="en-US"/>
          </a:p>
        </c:txPr>
        <c:crossAx val="1870570959"/>
        <c:crosses val="autoZero"/>
        <c:crossBetween val="between"/>
      </c:valAx>
      <c:valAx>
        <c:axId val="1910530447"/>
        <c:scaling>
          <c:orientation val="minMax"/>
        </c:scaling>
        <c:delete val="0"/>
        <c:axPos val="r"/>
        <c:title>
          <c:tx>
            <c:rich>
              <a:bodyPr rot="540000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0" i="0">
                    <a:latin typeface="Avenir Light" panose="020B0402020203020204" pitchFamily="34" charset="77"/>
                  </a:rPr>
                  <a:t>ORDER VOLUME</a:t>
                </a:r>
              </a:p>
            </c:rich>
          </c:tx>
          <c:layout>
            <c:manualLayout>
              <c:xMode val="edge"/>
              <c:yMode val="edge"/>
              <c:x val="0.91518214103053575"/>
              <c:y val="0.18449256731027627"/>
            </c:manualLayout>
          </c:layout>
          <c:overlay val="0"/>
          <c:spPr>
            <a:noFill/>
            <a:ln>
              <a:noFill/>
            </a:ln>
            <a:effectLst/>
          </c:spPr>
          <c:txPr>
            <a:bodyPr rot="540000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venir Book" panose="02000503020000020003" pitchFamily="2" charset="0"/>
                <a:ea typeface="+mn-ea"/>
                <a:cs typeface="+mn-cs"/>
              </a:defRPr>
            </a:pPr>
            <a:endParaRPr lang="en-US"/>
          </a:p>
        </c:txPr>
        <c:crossAx val="1910565087"/>
        <c:crosses val="max"/>
        <c:crossBetween val="between"/>
      </c:valAx>
      <c:catAx>
        <c:axId val="1910565087"/>
        <c:scaling>
          <c:orientation val="minMax"/>
        </c:scaling>
        <c:delete val="1"/>
        <c:axPos val="b"/>
        <c:numFmt formatCode="General" sourceLinked="1"/>
        <c:majorTickMark val="out"/>
        <c:minorTickMark val="none"/>
        <c:tickLblPos val="nextTo"/>
        <c:crossAx val="1910530447"/>
        <c:crosses val="autoZero"/>
        <c:auto val="1"/>
        <c:lblAlgn val="ctr"/>
        <c:lblOffset val="100"/>
        <c:noMultiLvlLbl val="0"/>
      </c:catAx>
      <c:spPr>
        <a:noFill/>
        <a:ln>
          <a:noFill/>
        </a:ln>
        <a:effectLst/>
      </c:spPr>
    </c:plotArea>
    <c:legend>
      <c:legendPos val="b"/>
      <c:layout>
        <c:manualLayout>
          <c:xMode val="edge"/>
          <c:yMode val="edge"/>
          <c:x val="2.4305151064315862E-2"/>
          <c:y val="0.10663728453475599"/>
          <c:w val="0.47719170141973172"/>
          <c:h val="4.4884543468353758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Avenir Light" panose="020B0402020203020204" pitchFamily="34" charset="77"/>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[Workbook Final.xlsx]Business Performance!PivotTable5</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tx1">
              <a:lumMod val="65000"/>
              <a:lumOff val="3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tx1"/>
          </a:solidFill>
          <a:ln>
            <a:noFill/>
          </a:ln>
          <a:effectLst/>
        </c:spPr>
      </c:pivotFmt>
      <c:pivotFmt>
        <c:idx val="3"/>
        <c:spPr>
          <a:solidFill>
            <a:schemeClr val="tx1">
              <a:lumMod val="65000"/>
              <a:lumOff val="3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tx1"/>
          </a:solidFill>
          <a:ln>
            <a:noFill/>
          </a:ln>
          <a:effectLst/>
        </c:spPr>
      </c:pivotFmt>
      <c:pivotFmt>
        <c:idx val="5"/>
        <c:spPr>
          <a:solidFill>
            <a:schemeClr val="tx1">
              <a:lumMod val="65000"/>
              <a:lumOff val="3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tx1"/>
          </a:solidFill>
          <a:ln>
            <a:noFill/>
          </a:ln>
          <a:effectLst/>
        </c:spPr>
      </c:pivotFmt>
      <c:pivotFmt>
        <c:idx val="7"/>
        <c:spPr>
          <a:solidFill>
            <a:schemeClr val="tx1">
              <a:lumMod val="65000"/>
              <a:lumOff val="3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tx1"/>
          </a:solidFill>
          <a:ln>
            <a:noFill/>
          </a:ln>
          <a:effectLst/>
        </c:spPr>
      </c:pivotFmt>
      <c:pivotFmt>
        <c:idx val="9"/>
        <c:spPr>
          <a:solidFill>
            <a:schemeClr val="tx1">
              <a:lumMod val="65000"/>
              <a:lumOff val="3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tx1"/>
          </a:solidFill>
          <a:ln>
            <a:noFill/>
          </a:ln>
          <a:effectLst/>
        </c:spPr>
      </c:pivotFmt>
    </c:pivotFmts>
    <c:plotArea>
      <c:layout>
        <c:manualLayout>
          <c:layoutTarget val="inner"/>
          <c:xMode val="edge"/>
          <c:yMode val="edge"/>
          <c:x val="0.31342112925933824"/>
          <c:y val="0.18706187490807849"/>
          <c:w val="0.58385199726141401"/>
          <c:h val="0.59464615000314436"/>
        </c:manualLayout>
      </c:layout>
      <c:barChart>
        <c:barDir val="bar"/>
        <c:grouping val="clustered"/>
        <c:varyColors val="0"/>
        <c:ser>
          <c:idx val="0"/>
          <c:order val="0"/>
          <c:tx>
            <c:strRef>
              <c:f>'Business Performance'!$U$6</c:f>
              <c:strCache>
                <c:ptCount val="1"/>
                <c:pt idx="0">
                  <c:v>Total</c:v>
                </c:pt>
              </c:strCache>
            </c:strRef>
          </c:tx>
          <c:spPr>
            <a:solidFill>
              <a:schemeClr val="tx1">
                <a:lumMod val="65000"/>
                <a:lumOff val="35000"/>
              </a:schemeClr>
            </a:solidFill>
            <a:ln>
              <a:noFill/>
            </a:ln>
            <a:effectLst/>
          </c:spPr>
          <c:invertIfNegative val="0"/>
          <c:dPt>
            <c:idx val="0"/>
            <c:invertIfNegative val="0"/>
            <c:bubble3D val="0"/>
            <c:extLst>
              <c:ext xmlns:c16="http://schemas.microsoft.com/office/drawing/2014/chart" uri="{C3380CC4-5D6E-409C-BE32-E72D297353CC}">
                <c16:uniqueId val="{00000000-6940-E741-8DEA-D0430A9F589D}"/>
              </c:ext>
            </c:extLst>
          </c:dPt>
          <c:dPt>
            <c:idx val="9"/>
            <c:invertIfNegative val="0"/>
            <c:bubble3D val="0"/>
            <c:spPr>
              <a:solidFill>
                <a:schemeClr val="tx1"/>
              </a:solidFill>
              <a:ln>
                <a:noFill/>
              </a:ln>
              <a:effectLst/>
            </c:spPr>
            <c:extLst>
              <c:ext xmlns:c16="http://schemas.microsoft.com/office/drawing/2014/chart" uri="{C3380CC4-5D6E-409C-BE32-E72D297353CC}">
                <c16:uniqueId val="{00000002-6940-E741-8DEA-D0430A9F589D}"/>
              </c:ext>
            </c:extLst>
          </c:dPt>
          <c:cat>
            <c:strRef>
              <c:f>'Business Performance'!$T$7:$T$17</c:f>
              <c:strCache>
                <c:ptCount val="10"/>
                <c:pt idx="0">
                  <c:v>brinquedos</c:v>
                </c:pt>
                <c:pt idx="1">
                  <c:v>automotivo</c:v>
                </c:pt>
                <c:pt idx="2">
                  <c:v>ferramentas_jardim</c:v>
                </c:pt>
                <c:pt idx="3">
                  <c:v>telefonia</c:v>
                </c:pt>
                <c:pt idx="4">
                  <c:v>relogios_presentes</c:v>
                </c:pt>
                <c:pt idx="5">
                  <c:v>utilidades_domesticas</c:v>
                </c:pt>
                <c:pt idx="6">
                  <c:v>informatica_acessorios</c:v>
                </c:pt>
                <c:pt idx="7">
                  <c:v>esporte_lazer</c:v>
                </c:pt>
                <c:pt idx="8">
                  <c:v>beleza_saude</c:v>
                </c:pt>
                <c:pt idx="9">
                  <c:v>escritorio</c:v>
                </c:pt>
              </c:strCache>
            </c:strRef>
          </c:cat>
          <c:val>
            <c:numRef>
              <c:f>'Business Performance'!$U$7:$U$17</c:f>
              <c:numCache>
                <c:formatCode>General</c:formatCode>
                <c:ptCount val="10"/>
                <c:pt idx="0">
                  <c:v>4117</c:v>
                </c:pt>
                <c:pt idx="1">
                  <c:v>4235</c:v>
                </c:pt>
                <c:pt idx="2">
                  <c:v>4347</c:v>
                </c:pt>
                <c:pt idx="3">
                  <c:v>4545</c:v>
                </c:pt>
                <c:pt idx="4">
                  <c:v>5991</c:v>
                </c:pt>
                <c:pt idx="5">
                  <c:v>6964</c:v>
                </c:pt>
                <c:pt idx="6">
                  <c:v>7827</c:v>
                </c:pt>
                <c:pt idx="7">
                  <c:v>8641</c:v>
                </c:pt>
                <c:pt idx="8">
                  <c:v>9670</c:v>
                </c:pt>
                <c:pt idx="9">
                  <c:v>22071</c:v>
                </c:pt>
              </c:numCache>
            </c:numRef>
          </c:val>
          <c:extLst>
            <c:ext xmlns:c16="http://schemas.microsoft.com/office/drawing/2014/chart" uri="{C3380CC4-5D6E-409C-BE32-E72D297353CC}">
              <c16:uniqueId val="{00000003-6940-E741-8DEA-D0430A9F589D}"/>
            </c:ext>
          </c:extLst>
        </c:ser>
        <c:dLbls>
          <c:showLegendKey val="0"/>
          <c:showVal val="0"/>
          <c:showCatName val="0"/>
          <c:showSerName val="0"/>
          <c:showPercent val="0"/>
          <c:showBubbleSize val="0"/>
        </c:dLbls>
        <c:gapWidth val="63"/>
        <c:axId val="638676832"/>
        <c:axId val="1611452591"/>
      </c:barChart>
      <c:catAx>
        <c:axId val="638676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200" b="0" i="0" u="none" strike="noStrike" kern="1200" baseline="0">
                <a:solidFill>
                  <a:schemeClr val="tx1">
                    <a:lumMod val="65000"/>
                    <a:lumOff val="35000"/>
                  </a:schemeClr>
                </a:solidFill>
                <a:latin typeface="Avenir Light" panose="020B0402020203020204" pitchFamily="34" charset="77"/>
                <a:ea typeface="+mn-ea"/>
                <a:cs typeface="+mn-cs"/>
              </a:defRPr>
            </a:pPr>
            <a:endParaRPr lang="en-US"/>
          </a:p>
        </c:txPr>
        <c:crossAx val="1611452591"/>
        <c:crosses val="autoZero"/>
        <c:auto val="1"/>
        <c:lblAlgn val="ctr"/>
        <c:lblOffset val="100"/>
        <c:noMultiLvlLbl val="0"/>
      </c:catAx>
      <c:valAx>
        <c:axId val="16114525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Avenir Light" panose="020B0402020203020204" pitchFamily="34" charset="77"/>
                <a:ea typeface="+mn-ea"/>
                <a:cs typeface="+mn-cs"/>
              </a:defRPr>
            </a:pPr>
            <a:endParaRPr lang="en-US"/>
          </a:p>
        </c:txPr>
        <c:crossAx val="638676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0.02386</cdr:y>
    </cdr:from>
    <cdr:to>
      <cdr:x>0.97577</cdr:x>
      <cdr:y>0.12123</cdr:y>
    </cdr:to>
    <cdr:sp macro="" textlink="">
      <cdr:nvSpPr>
        <cdr:cNvPr id="2" name="TextBox 1">
          <a:extLst xmlns:a="http://schemas.openxmlformats.org/drawingml/2006/main">
            <a:ext uri="{FF2B5EF4-FFF2-40B4-BE49-F238E27FC236}">
              <a16:creationId xmlns:a16="http://schemas.microsoft.com/office/drawing/2014/main" id="{AA90A18D-A128-26BA-3EF4-CCF5B8CA41A5}"/>
            </a:ext>
          </a:extLst>
        </cdr:cNvPr>
        <cdr:cNvSpPr txBox="1"/>
      </cdr:nvSpPr>
      <cdr:spPr>
        <a:xfrm xmlns:a="http://schemas.openxmlformats.org/drawingml/2006/main">
          <a:off x="0" y="98422"/>
          <a:ext cx="6481186" cy="40164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marL="0" marR="0" lvl="0" indent="0" algn="ctr" defTabSz="914400" rtl="0" eaLnBrk="1" fontAlgn="auto" latinLnBrk="0" hangingPunct="1">
            <a:lnSpc>
              <a:spcPct val="100000"/>
            </a:lnSpc>
            <a:spcBef>
              <a:spcPts val="0"/>
            </a:spcBef>
            <a:spcAft>
              <a:spcPts val="0"/>
            </a:spcAft>
            <a:buClrTx/>
            <a:buSzTx/>
            <a:buFontTx/>
            <a:buNone/>
            <a:tabLst/>
            <a:defRPr/>
          </a:pPr>
          <a:r>
            <a:rPr lang="en-US" sz="1400" b="0" i="0" u="none" strike="noStrike" baseline="0">
              <a:effectLst/>
              <a:latin typeface="Avenir Medium" panose="02000503020000020003" pitchFamily="2" charset="0"/>
            </a:rPr>
            <a:t>Our three biggest sales months are also our three biggest delivery failures</a:t>
          </a:r>
          <a:endParaRPr lang="en-US" sz="1400" b="0" i="0">
            <a:latin typeface="Avenir Medium" panose="02000503020000020003" pitchFamily="2" charset="0"/>
          </a:endParaRPr>
        </a:p>
        <a:p xmlns:a="http://schemas.openxmlformats.org/drawingml/2006/main">
          <a:endParaRPr lang="en-US" sz="1400" kern="1200"/>
        </a:p>
      </cdr:txBody>
    </cdr:sp>
  </cdr:relSizeAnchor>
  <cdr:relSizeAnchor xmlns:cdr="http://schemas.openxmlformats.org/drawingml/2006/chartDrawing">
    <cdr:from>
      <cdr:x>0.25416</cdr:x>
      <cdr:y>0.21732</cdr:y>
    </cdr:from>
    <cdr:to>
      <cdr:x>0.48543</cdr:x>
      <cdr:y>0.42143</cdr:y>
    </cdr:to>
    <cdr:sp macro="" textlink="">
      <cdr:nvSpPr>
        <cdr:cNvPr id="3" name="TextBox 2">
          <a:extLst xmlns:a="http://schemas.openxmlformats.org/drawingml/2006/main">
            <a:ext uri="{FF2B5EF4-FFF2-40B4-BE49-F238E27FC236}">
              <a16:creationId xmlns:a16="http://schemas.microsoft.com/office/drawing/2014/main" id="{79586E35-5AF2-8FB8-F08A-B7CF3DE9C932}"/>
            </a:ext>
          </a:extLst>
        </cdr:cNvPr>
        <cdr:cNvSpPr txBox="1"/>
      </cdr:nvSpPr>
      <cdr:spPr>
        <a:xfrm xmlns:a="http://schemas.openxmlformats.org/drawingml/2006/main">
          <a:off x="1688124" y="896436"/>
          <a:ext cx="1536152" cy="84192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marL="0" marR="0" lvl="0" indent="0" algn="r" defTabSz="914400" eaLnBrk="1" fontAlgn="auto" latinLnBrk="0" hangingPunct="1">
            <a:lnSpc>
              <a:spcPct val="100000"/>
            </a:lnSpc>
            <a:spcBef>
              <a:spcPts val="0"/>
            </a:spcBef>
            <a:spcAft>
              <a:spcPts val="0"/>
            </a:spcAft>
            <a:buClrTx/>
            <a:buSzTx/>
            <a:buFontTx/>
            <a:buNone/>
            <a:tabLst/>
            <a:defRPr/>
          </a:pPr>
          <a:r>
            <a:rPr lang="en-US" sz="800" b="0" i="0" kern="1200">
              <a:latin typeface="Avenir Light" panose="020B0402020203020204" pitchFamily="34" charset="77"/>
            </a:rPr>
            <a:t>We have an surge in sales revenue (63% increase) and order volume during  Q4</a:t>
          </a:r>
          <a:r>
            <a:rPr lang="en-US" sz="800" b="0" i="0" kern="1200" baseline="0">
              <a:latin typeface="Avenir Light" panose="020B0402020203020204" pitchFamily="34" charset="77"/>
            </a:rPr>
            <a:t> 2017 because of holiday season.</a:t>
          </a:r>
          <a:endParaRPr lang="en-US" sz="800" b="0" i="0" kern="1200">
            <a:latin typeface="Avenir Light" panose="020B0402020203020204" pitchFamily="34" charset="77"/>
          </a:endParaRPr>
        </a:p>
        <a:p xmlns:a="http://schemas.openxmlformats.org/drawingml/2006/main">
          <a:endParaRPr lang="en-US" sz="800" b="0" i="0" kern="1200">
            <a:latin typeface="Avenir Light" panose="020B0402020203020204" pitchFamily="34" charset="77"/>
          </a:endParaRPr>
        </a:p>
      </cdr:txBody>
    </cdr:sp>
  </cdr:relSizeAnchor>
  <cdr:relSizeAnchor xmlns:cdr="http://schemas.openxmlformats.org/drawingml/2006/chartDrawing">
    <cdr:from>
      <cdr:x>0.60681</cdr:x>
      <cdr:y>0.40849</cdr:y>
    </cdr:from>
    <cdr:to>
      <cdr:x>0.79431</cdr:x>
      <cdr:y>0.6431</cdr:y>
    </cdr:to>
    <cdr:sp macro="" textlink="">
      <cdr:nvSpPr>
        <cdr:cNvPr id="4" name="TextBox 3">
          <a:extLst xmlns:a="http://schemas.openxmlformats.org/drawingml/2006/main">
            <a:ext uri="{FF2B5EF4-FFF2-40B4-BE49-F238E27FC236}">
              <a16:creationId xmlns:a16="http://schemas.microsoft.com/office/drawing/2014/main" id="{3EF48B89-AC9B-713A-AFAA-603EDC188D76}"/>
            </a:ext>
          </a:extLst>
        </cdr:cNvPr>
        <cdr:cNvSpPr txBox="1"/>
      </cdr:nvSpPr>
      <cdr:spPr>
        <a:xfrm xmlns:a="http://schemas.openxmlformats.org/drawingml/2006/main">
          <a:off x="4030493" y="1685005"/>
          <a:ext cx="1245393" cy="96776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800" b="0" i="0" kern="1200">
              <a:latin typeface="Avenir Light" panose="020B0402020203020204" pitchFamily="34" charset="77"/>
            </a:rPr>
            <a:t>The</a:t>
          </a:r>
          <a:r>
            <a:rPr lang="en-US" sz="800" b="0" i="0" kern="1200" baseline="0">
              <a:latin typeface="Avenir Light" panose="020B0402020203020204" pitchFamily="34" charset="77"/>
            </a:rPr>
            <a:t> surge of sales revenue and order volume sustained until Mar 2018 because of Carnival period</a:t>
          </a:r>
          <a:endParaRPr lang="en-US" sz="800" b="0" i="0" kern="1200">
            <a:latin typeface="Avenir Light" panose="020B0402020203020204" pitchFamily="34" charset="77"/>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0.01581</cdr:x>
      <cdr:y>0.01885</cdr:y>
    </cdr:from>
    <cdr:to>
      <cdr:x>0.97556</cdr:x>
      <cdr:y>0.16684</cdr:y>
    </cdr:to>
    <cdr:sp macro="" textlink="">
      <cdr:nvSpPr>
        <cdr:cNvPr id="2" name="TextBox 1">
          <a:extLst xmlns:a="http://schemas.openxmlformats.org/drawingml/2006/main">
            <a:ext uri="{FF2B5EF4-FFF2-40B4-BE49-F238E27FC236}">
              <a16:creationId xmlns:a16="http://schemas.microsoft.com/office/drawing/2014/main" id="{4CA898F5-BDD6-F825-AF90-F53D66B6CF55}"/>
            </a:ext>
          </a:extLst>
        </cdr:cNvPr>
        <cdr:cNvSpPr txBox="1"/>
      </cdr:nvSpPr>
      <cdr:spPr>
        <a:xfrm xmlns:a="http://schemas.openxmlformats.org/drawingml/2006/main">
          <a:off x="106808" y="92031"/>
          <a:ext cx="6484259" cy="7224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marL="0" marR="0" lvl="0" indent="0" algn="l" defTabSz="914400" rtl="0" eaLnBrk="1" fontAlgn="auto" latinLnBrk="0" hangingPunct="1">
            <a:lnSpc>
              <a:spcPct val="100000"/>
            </a:lnSpc>
            <a:spcBef>
              <a:spcPts val="0"/>
            </a:spcBef>
            <a:spcAft>
              <a:spcPts val="0"/>
            </a:spcAft>
            <a:buClrTx/>
            <a:buSzTx/>
            <a:buFontTx/>
            <a:buNone/>
            <a:tabLst/>
            <a:defRPr/>
          </a:pPr>
          <a:r>
            <a:rPr lang="en-US" sz="1600" b="0" i="0" u="none" strike="noStrike" baseline="0">
              <a:effectLst/>
              <a:latin typeface="Avenir Medium" panose="02000503020000020003" pitchFamily="2" charset="0"/>
            </a:rPr>
            <a:t>Our top categories by volume is where delivery pressure is highest</a:t>
          </a:r>
          <a:endParaRPr lang="en-US" sz="1600" b="0" i="0">
            <a:latin typeface="Avenir Medium" panose="02000503020000020003" pitchFamily="2" charset="0"/>
          </a:endParaRPr>
        </a:p>
        <a:p xmlns:a="http://schemas.openxmlformats.org/drawingml/2006/main">
          <a:endParaRPr lang="en-US" sz="1400" b="0" i="0" kern="1200">
            <a:latin typeface="Avenir Medium" panose="02000503020000020003" pitchFamily="2" charset="0"/>
          </a:endParaRPr>
        </a:p>
      </cdr:txBody>
    </cdr:sp>
  </cdr:relSizeAnchor>
  <cdr:relSizeAnchor xmlns:cdr="http://schemas.openxmlformats.org/drawingml/2006/chartDrawing">
    <cdr:from>
      <cdr:x>0.20687</cdr:x>
      <cdr:y>0.91028</cdr:y>
    </cdr:from>
    <cdr:to>
      <cdr:x>0.77366</cdr:x>
      <cdr:y>0.97395</cdr:y>
    </cdr:to>
    <cdr:sp macro="" textlink="">
      <cdr:nvSpPr>
        <cdr:cNvPr id="3" name="TextBox 2">
          <a:extLst xmlns:a="http://schemas.openxmlformats.org/drawingml/2006/main">
            <a:ext uri="{FF2B5EF4-FFF2-40B4-BE49-F238E27FC236}">
              <a16:creationId xmlns:a16="http://schemas.microsoft.com/office/drawing/2014/main" id="{F4E42F16-F65F-425A-486C-05908CF97672}"/>
            </a:ext>
          </a:extLst>
        </cdr:cNvPr>
        <cdr:cNvSpPr txBox="1"/>
      </cdr:nvSpPr>
      <cdr:spPr>
        <a:xfrm xmlns:a="http://schemas.openxmlformats.org/drawingml/2006/main">
          <a:off x="1396769" y="5325537"/>
          <a:ext cx="3826933" cy="37253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0.16883</cdr:x>
      <cdr:y>0.90593</cdr:y>
    </cdr:from>
    <cdr:to>
      <cdr:x>0.69042</cdr:x>
      <cdr:y>0.97106</cdr:y>
    </cdr:to>
    <cdr:sp macro="" textlink="">
      <cdr:nvSpPr>
        <cdr:cNvPr id="4" name="TextBox 3">
          <a:extLst xmlns:a="http://schemas.openxmlformats.org/drawingml/2006/main">
            <a:ext uri="{FF2B5EF4-FFF2-40B4-BE49-F238E27FC236}">
              <a16:creationId xmlns:a16="http://schemas.microsoft.com/office/drawing/2014/main" id="{04A2D498-3A8E-2C24-391C-619516241DD4}"/>
            </a:ext>
          </a:extLst>
        </cdr:cNvPr>
        <cdr:cNvSpPr txBox="1"/>
      </cdr:nvSpPr>
      <cdr:spPr>
        <a:xfrm xmlns:a="http://schemas.openxmlformats.org/drawingml/2006/main">
          <a:off x="1142769" y="5300137"/>
          <a:ext cx="3530600" cy="3810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0.10195</cdr:x>
      <cdr:y>0.80663</cdr:y>
    </cdr:from>
    <cdr:to>
      <cdr:x>0.5667</cdr:x>
      <cdr:y>0.95835</cdr:y>
    </cdr:to>
    <cdr:sp macro="" textlink="">
      <cdr:nvSpPr>
        <cdr:cNvPr id="14" name="TextBox 13">
          <a:extLst xmlns:a="http://schemas.openxmlformats.org/drawingml/2006/main">
            <a:ext uri="{FF2B5EF4-FFF2-40B4-BE49-F238E27FC236}">
              <a16:creationId xmlns:a16="http://schemas.microsoft.com/office/drawing/2014/main" id="{1499C0EF-A376-031D-C661-7E2AC45F88CD}"/>
            </a:ext>
          </a:extLst>
        </cdr:cNvPr>
        <cdr:cNvSpPr txBox="1"/>
      </cdr:nvSpPr>
      <cdr:spPr>
        <a:xfrm xmlns:a="http://schemas.openxmlformats.org/drawingml/2006/main">
          <a:off x="685938" y="4709154"/>
          <a:ext cx="3126974" cy="88579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0.02623</cdr:x>
      <cdr:y>0.1125</cdr:y>
    </cdr:from>
    <cdr:to>
      <cdr:x>0.32017</cdr:x>
      <cdr:y>0.16212</cdr:y>
    </cdr:to>
    <cdr:sp macro="" textlink="">
      <cdr:nvSpPr>
        <cdr:cNvPr id="5" name="TextBox 4">
          <a:extLst xmlns:a="http://schemas.openxmlformats.org/drawingml/2006/main">
            <a:ext uri="{FF2B5EF4-FFF2-40B4-BE49-F238E27FC236}">
              <a16:creationId xmlns:a16="http://schemas.microsoft.com/office/drawing/2014/main" id="{C04D664E-E276-F497-68F2-B6D138CA4C24}"/>
            </a:ext>
          </a:extLst>
        </cdr:cNvPr>
        <cdr:cNvSpPr txBox="1"/>
      </cdr:nvSpPr>
      <cdr:spPr>
        <a:xfrm xmlns:a="http://schemas.openxmlformats.org/drawingml/2006/main">
          <a:off x="181433" y="511715"/>
          <a:ext cx="2033154" cy="22569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b="0" i="0" kern="1200">
              <a:latin typeface="Avenir Light" panose="020B0402020203020204" pitchFamily="34" charset="77"/>
            </a:rPr>
            <a:t>PRODUCT</a:t>
          </a:r>
          <a:r>
            <a:rPr lang="en-US" sz="1200" b="0" i="0" kern="1200" baseline="0">
              <a:latin typeface="Avenir Light" panose="020B0402020203020204" pitchFamily="34" charset="77"/>
            </a:rPr>
            <a:t>  CATEGORIES</a:t>
          </a:r>
          <a:endParaRPr lang="en-US" sz="1200" b="0" i="0" kern="1200">
            <a:latin typeface="Avenir Light" panose="020B0402020203020204" pitchFamily="34" charset="77"/>
          </a:endParaRPr>
        </a:p>
      </cdr:txBody>
    </cdr:sp>
  </cdr:relSizeAnchor>
  <cdr:relSizeAnchor xmlns:cdr="http://schemas.openxmlformats.org/drawingml/2006/chartDrawing">
    <cdr:from>
      <cdr:x>0.74178</cdr:x>
      <cdr:y>0.86304</cdr:y>
    </cdr:from>
    <cdr:to>
      <cdr:x>0.94777</cdr:x>
      <cdr:y>0.94778</cdr:y>
    </cdr:to>
    <cdr:sp macro="" textlink="">
      <cdr:nvSpPr>
        <cdr:cNvPr id="6" name="TextBox 5">
          <a:extLst xmlns:a="http://schemas.openxmlformats.org/drawingml/2006/main">
            <a:ext uri="{FF2B5EF4-FFF2-40B4-BE49-F238E27FC236}">
              <a16:creationId xmlns:a16="http://schemas.microsoft.com/office/drawing/2014/main" id="{8ED7568B-3A32-9AFB-40B1-633AB566E2C2}"/>
            </a:ext>
          </a:extLst>
        </cdr:cNvPr>
        <cdr:cNvSpPr txBox="1"/>
      </cdr:nvSpPr>
      <cdr:spPr>
        <a:xfrm xmlns:a="http://schemas.openxmlformats.org/drawingml/2006/main">
          <a:off x="5132272" y="3858109"/>
          <a:ext cx="1425224" cy="37882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r"/>
          <a:r>
            <a:rPr lang="en-US" sz="1200" b="0" i="0" kern="1200">
              <a:latin typeface="Avenir Book" panose="02000503020000020003" pitchFamily="2" charset="0"/>
            </a:rPr>
            <a:t>ORDER</a:t>
          </a:r>
          <a:r>
            <a:rPr lang="en-US" sz="1200" b="0" i="0" kern="1200" baseline="0">
              <a:latin typeface="Avenir Book" panose="02000503020000020003" pitchFamily="2" charset="0"/>
            </a:rPr>
            <a:t> VOLUME</a:t>
          </a:r>
          <a:endParaRPr lang="en-US" sz="1200" b="0" i="0" kern="1200">
            <a:latin typeface="Avenir Book" panose="02000503020000020003" pitchFamily="2" charset="0"/>
          </a:endParaRPr>
        </a:p>
      </cdr:txBody>
    </cdr:sp>
  </cdr:relSizeAnchor>
  <cdr:relSizeAnchor xmlns:cdr="http://schemas.openxmlformats.org/drawingml/2006/chartDrawing">
    <cdr:from>
      <cdr:x>0.59396</cdr:x>
      <cdr:y>0.27534</cdr:y>
    </cdr:from>
    <cdr:to>
      <cdr:x>0.87636</cdr:x>
      <cdr:y>0.55365</cdr:y>
    </cdr:to>
    <cdr:sp macro="" textlink="">
      <cdr:nvSpPr>
        <cdr:cNvPr id="7" name="TextBox 6">
          <a:extLst xmlns:a="http://schemas.openxmlformats.org/drawingml/2006/main">
            <a:ext uri="{FF2B5EF4-FFF2-40B4-BE49-F238E27FC236}">
              <a16:creationId xmlns:a16="http://schemas.microsoft.com/office/drawing/2014/main" id="{F1949A3A-455F-310B-8EEC-CDB9E35F6E7A}"/>
            </a:ext>
          </a:extLst>
        </cdr:cNvPr>
        <cdr:cNvSpPr txBox="1"/>
      </cdr:nvSpPr>
      <cdr:spPr>
        <a:xfrm xmlns:a="http://schemas.openxmlformats.org/drawingml/2006/main">
          <a:off x="3945142" y="1409218"/>
          <a:ext cx="1875729" cy="142441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900" b="0" i="0" kern="1200">
              <a:latin typeface="Avenir Light" panose="020B0402020203020204" pitchFamily="34" charset="77"/>
            </a:rPr>
            <a:t>We</a:t>
          </a:r>
          <a:r>
            <a:rPr lang="en-US" sz="900" b="0" i="0" kern="1200" baseline="0">
              <a:latin typeface="Avenir Light" panose="020B0402020203020204" pitchFamily="34" charset="77"/>
            </a:rPr>
            <a:t> have disproportion of product category as escritorio or furniture has the highest number of orders.</a:t>
          </a:r>
          <a:endParaRPr lang="en-US" sz="900" b="0" i="0" kern="1200">
            <a:latin typeface="Avenir Light" panose="020B0402020203020204" pitchFamily="34" charset="77"/>
          </a:endParaRPr>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39DA26-A307-8443-AA39-D76BE8F963EE}"/>
      </w:docPartPr>
      <w:docPartBody>
        <w:p w:rsidR="002F5030" w:rsidRDefault="0030786A">
          <w:r w:rsidRPr="00BF3D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86A"/>
    <w:rsid w:val="001658E1"/>
    <w:rsid w:val="00210DFD"/>
    <w:rsid w:val="002F5030"/>
    <w:rsid w:val="0030786A"/>
    <w:rsid w:val="00347A01"/>
    <w:rsid w:val="00897613"/>
    <w:rsid w:val="00A373CB"/>
    <w:rsid w:val="00AA1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786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021C0-E2E5-0542-A732-EFDC05BE9078}">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7964576469"/>
    <we:property name="MENDELEY_CITATIONS" value="[{&quot;citationID&quot;:&quot;MENDELEY_CITATION_2cf2c2a1-bca7-42ed-bfe6-7e93bd451090&quot;,&quot;properties&quot;:{&quot;noteIndex&quot;:0},&quot;isEdited&quot;:false,&quot;manualOverride&quot;:{&quot;isManuallyOverridden&quot;:false,&quot;citeprocText&quot;:&quot;(Shanakar &amp;#38; S, 2024)&quot;,&quot;manualOverrideText&quot;:&quot;&quot;},&quot;citationTag&quot;:&quot;MENDELEY_CITATION_v3_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&quot;,&quot;citationItems&quot;:[{&quot;id&quot;:&quot;5298459a-6d2c-33a0-94e3-6afb1902bef7&quot;,&quot;itemData&quot;:{&quot;type&quot;:&quot;article-journal&quot;,&quot;id&quot;:&quot;5298459a-6d2c-33a0-94e3-6afb1902bef7&quot;,&quot;title&quot;:&quot;Logistics Challenges in E-Commerce During Peak Season&quot;,&quot;author&quot;:[{&quot;family&quot;:&quot;Shanakar&quot;,&quot;given&quot;:&quot;S.&quot;,&quot;parse-names&quot;:false,&quot;dropping-particle&quot;:&quot;&quot;,&quot;non-dropping-particle&quot;:&quot;&quot;},{&quot;family&quot;:&quot;S&quot;,&quot;given&quot;:&quot;Balaji&quot;,&quot;parse-names&quot;:false,&quot;dropping-particle&quot;:&quot;&quot;,&quot;non-dropping-particle&quot;:&quot;&quot;}],&quot;container-title&quot;:&quot;International Journal of Innovative Research in Science, Engineering and Technology&quot;,&quot;container-title-short&quot;:&quot;Int. J. Innov. Res. Sci. Eng. Technol.&quot;,&quot;DOI&quot;:&quot;10.15680/IJIRSET.2024.1312170&quot;,&quot;ISSN&quot;:&quot;23198753&quot;,&quot;URL&quot;:&quot;https://www.ijirset.com/upload/2024/december/170_Logistics.pdf&quot;,&quot;issued&quot;:{&quot;date-parts&quot;:[[2024,12,30]]},&quot;abstract&quot;:&quot;&lt;p&gt;The research looks at the logistics issues that e-commerce businesses deal with at times of high demand, like the holidays, promotions, and significant sales occasions. These times frequently overload logistics systems, leading to supply shortages, delivery delays, and irate customers. The article lists several important difficulties, including labour shortages, last-mile delivery problems, transportation constraints, and warehousing. The data analysis, through regression and correlation, shows that the selected logistics factors, labor shortages, last-mile delivery time, transportation constraints, warehouse utilization, and automation adoption—do not significantly influence customer satisfaction in this data set.The study investigates the logistical difficulties encountered by e-commerce companies during peak demand periods, including holidays, promotional events, and significant sales occasions. Such times frequently strain logistics operations, resulting in supply deficiencies, postponed deliveries, and unhappy customers. Beyond typical challenges such as workforce shortages, last-mile delivery obstacles, transportation restrictions, and warehouse limitations, there are additional critical issues. The research is based on industry reports, case studies, and interviews with e-commerce logistics managers. The study's recommendations for reducing logistics-related difficulties include the use of automation, improved forecasting, and collaborations with third-party logistics providers (3PLs).&lt;/p&gt;&quot;,&quot;issue&quot;:&quot;12&quot;,&quot;volume&quot;:&quot;13&quot;},&quot;isTemporary&quot;:false}]},{&quot;citationID&quot;:&quot;MENDELEY_CITATION_2f7e3839-ef97-4e77-b005-053ebbe7b550&quot;,&quot;properties&quot;:{&quot;noteIndex&quot;:0},&quot;isEdited&quot;:false,&quot;manualOverride&quot;:{&quot;isManuallyOverridden&quot;:false,&quot;citeprocText&quot;:&quot;(3PeeL, 2026)&quot;,&quot;manualOverrideText&quot;:&quot;&quot;},&quot;citationTag&quot;:&quot;MENDELEY_CITATION_v3_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&quot;,&quot;citationItems&quot;:[{&quot;id&quot;:&quot;08bfe9b3-4b44-398f-86d8-62525e35ebd3&quot;,&quot;itemData&quot;:{&quot;type&quot;:&quot;webpage&quot;,&quot;id&quot;:&quot;08bfe9b3-4b44-398f-86d8-62525e35ebd3&quot;,&quot;title&quot;:&quot;How To Handle 3PL Challenges For Oversized or Bulky Items (Tricks You Didn't Know) - 3PeeL&quot;,&quot;author&quot;:[{&quot;family&quot;:&quot;3PeeL&quot;,&quot;given&quot;:&quot;&quot;,&quot;parse-names&quot;:false,&quot;dropping-particle&quot;:&quot;&quot;,&quot;non-dropping-particle&quot;:&quot;&quot;}],&quot;accessed&quot;:{&quot;date-parts&quot;:[[2026,5,5]]},&quot;URL&quot;:&quot;https://3peel.com/how-to-handle-3pl-challenges-for-oversized-or-bulky-items-tricks-you-didnt-know/&quot;,&quot;issued&quot;:{&quot;date-parts&quot;:[[2026,5,5]]},&quot;container-title-short&quot;:&quot;&quot;},&quot;isTemporary&quot;:false}]},{&quot;citationID&quot;:&quot;MENDELEY_CITATION_748e3471-ad0a-47a4-9dcd-5008fb6bb338&quot;,&quot;properties&quot;:{&quot;noteIndex&quot;:0},&quot;isEdited&quot;:false,&quot;manualOverride&quot;:{&quot;isManuallyOverridden&quot;:false,&quot;citeprocText&quot;:&quot;(Gosling, 2025)&quot;,&quot;manualOverrideText&quot;:&quot;&quot;},&quot;citationTag&quot;:&quot;MENDELEY_CITATION_v3_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&quot;,&quot;citationItems&quot;:[{&quot;id&quot;:&quot;471aee70-11ab-39cf-811b-60275140dbfe&quot;,&quot;itemData&quot;:{&quot;type&quot;:&quot;webpage&quot;,&quot;id&quot;:&quot;471aee70-11ab-39cf-811b-60275140dbfe&quot;,&quot;title&quot;:&quot;What do US consumers want from e-commerce deliveries? | McKinsey&quot;,&quot;author&quot;:[{&quot;family&quot;:&quot;Gosling&quot;,&quot;given&quot;:&quot;Sandy&quot;,&quot;parse-names&quot;:false,&quot;dropping-particle&quot;:&quot;&quot;,&quot;non-dropping-particle&quot;:&quot;&quot;}],&quot;accessed&quot;:{&quot;date-parts&quot;:[[2026,5,5]]},&quot;URL&quot;:&quot;https://www.mckinsey.com/industries/logistics/our-insights/what-do-us-consumers-want-from-e-commerce-deliveries&quot;,&quot;issued&quot;:{&quot;date-parts&quot;:[[2025,2,13]]},&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AFEAA-1560-4A44-B440-8D70D4E7F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Vitto</dc:creator>
  <cp:keywords/>
  <dc:description/>
  <cp:lastModifiedBy>Kevin Vitto</cp:lastModifiedBy>
  <cp:revision>18</cp:revision>
  <dcterms:created xsi:type="dcterms:W3CDTF">2026-05-05T06:50:00Z</dcterms:created>
  <dcterms:modified xsi:type="dcterms:W3CDTF">2026-05-07T02:14:00Z</dcterms:modified>
</cp:coreProperties>
</file>