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677b4d144d9813ad0cb122fb258bb566c583aa9b.png"/>
            <a:graphic>
              <a:graphicData uri="http://schemas.openxmlformats.org/drawingml/2006/picture">
                <pic:pic>
                  <pic:nvPicPr>
                    <pic:cNvPr id="1" name="image-677b4d144d9813ad0cb122fb258bb566c583aa9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sono_un_giurista_d_impresa_e_avvo_44ed0e"/>
      <w:r>
        <w:rPr>
          <w:rFonts w:eastAsia="georgia" w:cs="georgia" w:ascii="georgia" w:hAnsi="georgia"/>
          <w:b/>
          <w:color w:val="000000"/>
          <w:sz w:val="39"/>
        </w:rPr>
        <w:t xml:space="preserve">sono un giurista d'impresa e avvocato specializzato nell'AI act e in Privacy e vorrei conoscere la giurisprudenza più recente. In particolare mi interessano le statistiche sulle cause ad oggi aperte e passate in giudicato, quante di esse hanno visto imputato il datore e quante il dipendente, ed altre informazioni utili per analizzare l'ambito specifico dal punto di vista legale. In particolare mi interessa poi il ruolo assunto dai sindacati dei lavoratori e delle associazioni imprenditoriali.</w:t>
      </w:r>
      <w:bookmarkEnd w:id="0"/>
    </w:p>
    <w:p>
      <w:pPr>
        <w:spacing w:line="360" w:after="210" w:lineRule="auto"/>
      </w:pPr>
      <w:r>
        <w:rPr>
          <w:rFonts w:eastAsia="georgia" w:cs="georgia" w:ascii="georgia" w:hAnsi="georgia"/>
          <w:color w:val="000000"/>
        </w:rPr>
        <w:t xml:space="preserve">In Italia, la “giurisprudenza” davvero </w:t>
      </w:r>
      <w:r>
        <w:rPr>
          <w:rFonts w:eastAsia="georgia" w:cs="georgia" w:ascii="georgia" w:hAnsi="georgia"/>
          <w:b/>
          <w:color w:val="000000"/>
        </w:rPr>
        <w:t xml:space="preserve">recente</w:t>
      </w:r>
      <w:r>
        <w:rPr>
          <w:rFonts w:eastAsia="georgia" w:cs="georgia" w:ascii="georgia" w:hAnsi="georgia"/>
          <w:color w:val="000000"/>
        </w:rPr>
        <w:t xml:space="preserve"> su AI Act/Privacy nel lavoro è ancora piuttosto scarna come contenzioso definito, mentre è molto più ricca la produzione di provvedimenti del Garante, commenti dottrinali e prassi negoziale sindacale; inoltre, l’Italia ha appena introdotto una cornice nazionale sull’AI con la legge 132/2025, che si innesta sul GDPR e sull’AI Act UE. Su queste basi, oggi il quadro più utile per un’analisi legale è quello dei casi privacy/lavoro legati ad algoritmi, sorveglianza e uso di dati dei dipendenti, più che un repertorio consolidato di sentenze passate in giudicato sull’AI in senso stretto.</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bookmarkStart w:id="4" w:name="fnref4"/>
      <w:bookmarkEnd w:id="4"/>
      <w:hyperlink w:anchor="fn4">
        <w:r>
          <w:rPr>
            <w:rFonts w:eastAsia="helvetica neue" w:cs="helvetica neue" w:ascii="helvetica neue" w:hAnsi="helvetica neue"/>
            <w:color w:val="#000"/>
            <w:u w:val="single"/>
            <w:vertAlign w:val="superscript"/>
          </w:rPr>
          <w:t xml:space="preserve">[4]</w:t>
        </w:r>
      </w:hyperlink>
      <w:bookmarkStart w:id="5" w:name="fnref5"/>
      <w:bookmarkEnd w:id="5"/>
      <w:hyperlink w:anchor="fn5">
        <w:r>
          <w:rPr>
            <w:rFonts w:eastAsia="helvetica neue" w:cs="helvetica neue" w:ascii="helvetica neue" w:hAnsi="helvetica neue"/>
            <w:color w:val="#000"/>
            <w:u w:val="single"/>
            <w:vertAlign w:val="superscript"/>
          </w:rPr>
          <w:t xml:space="preserve">[5]</w:t>
        </w:r>
      </w:hyperlink>
      <w:bookmarkStart w:id="6" w:name="fnref6"/>
      <w:bookmarkEnd w:id="6"/>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7" w:name="stato_del_contenzioso"/>
      <w:r>
        <w:rPr>
          <w:rFonts w:eastAsia="georgia" w:cs="georgia" w:ascii="georgia" w:hAnsi="georgia"/>
          <w:b/>
          <w:color w:val="000000"/>
          <w:sz w:val="24"/>
        </w:rPr>
        <w:t xml:space="preserve">Stato del contenzioso</w:t>
      </w:r>
      <w:bookmarkEnd w:id="7"/>
    </w:p>
    <w:p>
      <w:pPr>
        <w:spacing w:line="360" w:after="210" w:lineRule="auto"/>
      </w:pPr>
      <w:r>
        <w:rPr>
          <w:rFonts w:eastAsia="georgia" w:cs="georgia" w:ascii="georgia" w:hAnsi="georgia"/>
          <w:color w:val="000000"/>
        </w:rPr>
        <w:t xml:space="preserve">Non risultano, dalle fonti reperite, statistiche ufficiali complete e aggregate che dicano quante cause siano “ancora aperte” e quante “passate in giudicato” specificamente per AI Act e privacy nel lavoro in Italia; questa distinzione richiede normalmente un’estrazione da banche dati giurisprudenziali o dagli archivi del Garante, non da fonti divulgative. Le fonti disponibili indicano però che i casi davvero nuovi sull’algorithmic management sono ancora “pochi” e concentrati soprattutto contro datori di lavoro e fornitori/gestori di strumenti di sorveglianza o decisione automatizzata.</w:t>
      </w:r>
      <w:bookmarkStart w:id="8" w:name="fnref3_1"/>
      <w:bookmarkEnd w:id="8"/>
      <w:hyperlink w:anchor="fn3">
        <w:r>
          <w:rPr>
            <w:rFonts w:eastAsia="helvetica neue" w:cs="helvetica neue" w:ascii="helvetica neue" w:hAnsi="helvetica neue"/>
            <w:color w:val="#000"/>
            <w:u w:val="single"/>
            <w:vertAlign w:val="superscript"/>
          </w:rPr>
          <w:t xml:space="preserve">[3]</w:t>
        </w:r>
      </w:hyperlink>
      <w:bookmarkStart w:id="9" w:name="fnref4_1"/>
      <w:bookmarkEnd w:id="9"/>
      <w:hyperlink w:anchor="fn4">
        <w:r>
          <w:rPr>
            <w:rFonts w:eastAsia="helvetica neue" w:cs="helvetica neue" w:ascii="helvetica neue" w:hAnsi="helvetica neue"/>
            <w:color w:val="#000"/>
            <w:u w:val="single"/>
            <w:vertAlign w:val="superscript"/>
          </w:rPr>
          <w:t xml:space="preserve">[4]</w:t>
        </w:r>
      </w:hyperlink>
      <w:bookmarkStart w:id="10" w:name="fnref5_1"/>
      <w:bookmarkEnd w:id="10"/>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11" w:name="chi_è_convenuto"/>
      <w:r>
        <w:rPr>
          <w:rFonts w:eastAsia="georgia" w:cs="georgia" w:ascii="georgia" w:hAnsi="georgia"/>
          <w:b/>
          <w:color w:val="000000"/>
          <w:sz w:val="24"/>
        </w:rPr>
        <w:t xml:space="preserve">Chi è convenuto</w:t>
      </w:r>
      <w:bookmarkEnd w:id="11"/>
    </w:p>
    <w:p>
      <w:pPr>
        <w:spacing w:line="360" w:after="210" w:lineRule="auto"/>
      </w:pPr>
      <w:r>
        <w:rPr>
          <w:rFonts w:eastAsia="georgia" w:cs="georgia" w:ascii="georgia" w:hAnsi="georgia"/>
          <w:color w:val="000000"/>
        </w:rPr>
        <w:t xml:space="preserve">Nel perimetro lavoro/privacy/AI, il soggetto tipicamente esposto è il </w:t>
      </w:r>
      <w:r>
        <w:rPr>
          <w:rFonts w:eastAsia="georgia" w:cs="georgia" w:ascii="georgia" w:hAnsi="georgia"/>
          <w:b/>
          <w:color w:val="000000"/>
        </w:rPr>
        <w:t xml:space="preserve">datore di lavoro</w:t>
      </w:r>
      <w:r>
        <w:rPr>
          <w:rFonts w:eastAsia="georgia" w:cs="georgia" w:ascii="georgia" w:hAnsi="georgia"/>
          <w:color w:val="000000"/>
        </w:rPr>
        <w:t xml:space="preserve">, perché è lui che decide il trattamento, introduce gli strumenti e risponde degli obblighi informativi, di minimizzazione, base giuridica e controllo umano. Più raramente il focus cade sul dipendente, e in quel caso di solito come autore di condotte individuali con uso improprio di dati o strumenti, non come principale destinatario delle misure sanzionatorie sul piano regolatorio. Le fonti reperite non forniscono una ripartizione numerica affidabile “datore vs dipendente” per cause definite, quindi sarebbe scorretto inventarla.</w:t>
      </w:r>
      <w:bookmarkStart w:id="12" w:name="fnref7"/>
      <w:bookmarkEnd w:id="12"/>
      <w:hyperlink w:anchor="fn7">
        <w:r>
          <w:rPr>
            <w:rFonts w:eastAsia="helvetica neue" w:cs="helvetica neue" w:ascii="helvetica neue" w:hAnsi="helvetica neue"/>
            <w:color w:val="#000"/>
            <w:u w:val="single"/>
            <w:vertAlign w:val="superscript"/>
          </w:rPr>
          <w:t xml:space="preserve">[7]</w:t>
        </w:r>
      </w:hyperlink>
      <w:bookmarkStart w:id="13" w:name="fnref2_1"/>
      <w:bookmarkEnd w:id="13"/>
      <w:hyperlink w:anchor="fn2">
        <w:r>
          <w:rPr>
            <w:rFonts w:eastAsia="helvetica neue" w:cs="helvetica neue" w:ascii="helvetica neue" w:hAnsi="helvetica neue"/>
            <w:color w:val="#000"/>
            <w:u w:val="single"/>
            <w:vertAlign w:val="superscript"/>
          </w:rPr>
          <w:t xml:space="preserve">[2]</w:t>
        </w:r>
      </w:hyperlink>
      <w:bookmarkStart w:id="14" w:name="fnref4_2"/>
      <w:bookmarkEnd w:id="14"/>
      <w:hyperlink w:anchor="fn4">
        <w:r>
          <w:rPr>
            <w:rFonts w:eastAsia="helvetica neue" w:cs="helvetica neue" w:ascii="helvetica neue" w:hAnsi="helvetica neue"/>
            <w:color w:val="#000"/>
            <w:u w:val="single"/>
            <w:vertAlign w:val="superscript"/>
          </w:rPr>
          <w:t xml:space="preserve">[4]</w:t>
        </w:r>
      </w:hyperlink>
      <w:bookmarkStart w:id="15" w:name="fnref8"/>
      <w:bookmarkEnd w:id="15"/>
      <w:hyperlink w:anchor="fn8">
        <w:r>
          <w:rPr>
            <w:rFonts w:eastAsia="helvetica neue" w:cs="helvetica neue" w:ascii="helvetica neue" w:hAnsi="helvetica neue"/>
            <w:color w:val="#000"/>
            <w:u w:val="single"/>
            <w:vertAlign w:val="superscript"/>
          </w:rPr>
          <w:t xml:space="preserve">[8]</w:t>
        </w:r>
      </w:hyperlink>
      <w:bookmarkStart w:id="16" w:name="fnref3_2"/>
      <w:bookmarkEnd w:id="16"/>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7" w:name="ruolo_dei_sindacati"/>
      <w:r>
        <w:rPr>
          <w:rFonts w:eastAsia="georgia" w:cs="georgia" w:ascii="georgia" w:hAnsi="georgia"/>
          <w:b/>
          <w:color w:val="000000"/>
          <w:sz w:val="24"/>
        </w:rPr>
        <w:t xml:space="preserve">Ruolo dei sindacati</w:t>
      </w:r>
      <w:bookmarkEnd w:id="17"/>
    </w:p>
    <w:p>
      <w:pPr>
        <w:spacing w:line="360" w:after="210" w:lineRule="auto"/>
      </w:pPr>
      <w:r>
        <w:rPr>
          <w:rFonts w:eastAsia="georgia" w:cs="georgia" w:ascii="georgia" w:hAnsi="georgia"/>
          <w:color w:val="000000"/>
        </w:rPr>
        <w:t xml:space="preserve">Il ruolo dei sindacati è emerso come centrale in due modi: primo, come destinatari di obblighi informativi e consultivi quando l’AI entra nella gestione del rapporto di lavoro; secondo, come attori negoziali che possono ottenere garanzie ulteriori in azienda. La legge italiana sull’AI nel lavoro richiede che le informazioni sui sistemi siano trasmesse anche alle rappresentanze sindacali e che le modifiche rilevanti siano comunicate tempestivamente. A livello pratico, si segnala anche il primo accordo aziendale italiano sull’AI nel 2025, concluso con un sindacato dei lavoratori della comunicazione, che mostra come la contrattazione possa fissare limiti su sorveglianza, uso dei dati e governance dell’algoritmo.</w:t>
      </w:r>
      <w:bookmarkStart w:id="18" w:name="fnref8_1"/>
      <w:bookmarkEnd w:id="18"/>
      <w:hyperlink w:anchor="fn8">
        <w:r>
          <w:rPr>
            <w:rFonts w:eastAsia="helvetica neue" w:cs="helvetica neue" w:ascii="helvetica neue" w:hAnsi="helvetica neue"/>
            <w:color w:val="#000"/>
            <w:u w:val="single"/>
            <w:vertAlign w:val="superscript"/>
          </w:rPr>
          <w:t xml:space="preserve">[8]</w:t>
        </w:r>
      </w:hyperlink>
      <w:bookmarkStart w:id="19" w:name="fnref9"/>
      <w:bookmarkEnd w:id="19"/>
      <w:hyperlink w:anchor="fn9">
        <w:r>
          <w:rPr>
            <w:rFonts w:eastAsia="helvetica neue" w:cs="helvetica neue" w:ascii="helvetica neue" w:hAnsi="helvetica neue"/>
            <w:color w:val="#000"/>
            <w:u w:val="single"/>
            <w:vertAlign w:val="superscript"/>
          </w:rPr>
          <w:t xml:space="preserve">[9]</w:t>
        </w:r>
      </w:hyperlink>
      <w:bookmarkStart w:id="20" w:name="fnref10"/>
      <w:bookmarkEnd w:id="20"/>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21" w:name="associazioni_imprenditoriali"/>
      <w:r>
        <w:rPr>
          <w:rFonts w:eastAsia="georgia" w:cs="georgia" w:ascii="georgia" w:hAnsi="georgia"/>
          <w:b/>
          <w:color w:val="000000"/>
          <w:sz w:val="24"/>
        </w:rPr>
        <w:t xml:space="preserve">Associazioni imprenditoriali</w:t>
      </w:r>
      <w:bookmarkEnd w:id="21"/>
    </w:p>
    <w:p>
      <w:pPr>
        <w:spacing w:line="360" w:after="210" w:lineRule="auto"/>
      </w:pPr>
      <w:r>
        <w:rPr>
          <w:rFonts w:eastAsia="georgia" w:cs="georgia" w:ascii="georgia" w:hAnsi="georgia"/>
          <w:color w:val="000000"/>
        </w:rPr>
        <w:t xml:space="preserve">Le associazioni imprenditoriali, nelle fonti esaminate, svolgono soprattutto una funzione di </w:t>
      </w:r>
      <w:r>
        <w:rPr>
          <w:rFonts w:eastAsia="georgia" w:cs="georgia" w:ascii="georgia" w:hAnsi="georgia"/>
          <w:b/>
          <w:color w:val="000000"/>
        </w:rPr>
        <w:t xml:space="preserve">compliance guidance</w:t>
      </w:r>
      <w:r>
        <w:rPr>
          <w:rFonts w:eastAsia="georgia" w:cs="georgia" w:ascii="georgia" w:hAnsi="georgia"/>
          <w:color w:val="000000"/>
        </w:rPr>
        <w:t xml:space="preserve">: interpretano gli obblighi, segnalano rischi, e aiutano le imprese a predisporre informative, audit, policy e controlli umani. Sul piano sistemico, la loro rilevanza aumenta perché la nuova disciplina italiana rende l’AI un tema di governance aziendale, non solo di protezione dati, con impatti anche su sanzioni, affidabilità del sistema e reputazione. In questa fase non emerge ancora una giurisprudenza “di categoria” delle associazioni imprenditoriali, ma soprattutto un ruolo di prevenzione e standardizzazione delle pratiche.</w:t>
      </w:r>
      <w:bookmarkStart w:id="22" w:name="fnref11"/>
      <w:bookmarkEnd w:id="22"/>
      <w:hyperlink w:anchor="fn11">
        <w:r>
          <w:rPr>
            <w:rFonts w:eastAsia="helvetica neue" w:cs="helvetica neue" w:ascii="helvetica neue" w:hAnsi="helvetica neue"/>
            <w:color w:val="#000"/>
            <w:u w:val="single"/>
            <w:vertAlign w:val="superscript"/>
          </w:rPr>
          <w:t xml:space="preserve">[11]</w:t>
        </w:r>
      </w:hyperlink>
      <w:bookmarkStart w:id="23" w:name="fnref2_2"/>
      <w:bookmarkEnd w:id="23"/>
      <w:hyperlink w:anchor="fn2">
        <w:r>
          <w:rPr>
            <w:rFonts w:eastAsia="helvetica neue" w:cs="helvetica neue" w:ascii="helvetica neue" w:hAnsi="helvetica neue"/>
            <w:color w:val="#000"/>
            <w:u w:val="single"/>
            <w:vertAlign w:val="superscript"/>
          </w:rPr>
          <w:t xml:space="preserve">[2]</w:t>
        </w:r>
      </w:hyperlink>
      <w:bookmarkStart w:id="24" w:name="fnref6_1"/>
      <w:bookmarkEnd w:id="24"/>
      <w:hyperlink w:anchor="fn6">
        <w:r>
          <w:rPr>
            <w:rFonts w:eastAsia="helvetica neue" w:cs="helvetica neue" w:ascii="helvetica neue" w:hAnsi="helvetica neue"/>
            <w:color w:val="#000"/>
            <w:u w:val="single"/>
            <w:vertAlign w:val="superscript"/>
          </w:rPr>
          <w:t xml:space="preserve">[6]</w:t>
        </w:r>
      </w:hyperlink>
      <w:bookmarkStart w:id="25" w:name="fnref1_1"/>
      <w:bookmarkEnd w:id="25"/>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6" w:name="dati_utili_per_l_analisi"/>
      <w:r>
        <w:rPr>
          <w:rFonts w:eastAsia="georgia" w:cs="georgia" w:ascii="georgia" w:hAnsi="georgia"/>
          <w:b/>
          <w:color w:val="000000"/>
          <w:sz w:val="24"/>
        </w:rPr>
        <w:t xml:space="preserve">Dati utili per l’analisi</w:t>
      </w:r>
      <w:bookmarkEnd w:id="26"/>
    </w:p>
    <w:p>
      <w:pPr>
        <w:spacing w:line="360" w:after="210" w:lineRule="auto"/>
      </w:pPr>
      <w:r>
        <w:rPr>
          <w:rFonts w:eastAsia="georgia" w:cs="georgia" w:ascii="georgia" w:hAnsi="georgia"/>
          <w:color w:val="000000"/>
        </w:rPr>
        <w:t xml:space="preserve">Le informazioni più utili, oggi, per studiare il fenomeno sono:</w:t>
      </w:r>
    </w:p>
    <w:p>
      <w:pPr>
        <w:numPr>
          <w:ilvl w:val="0"/>
          <w:numId w:val="1"/>
        </w:numPr>
        <w:spacing w:line="360" w:before="105" w:after="105" w:lineRule="auto"/>
      </w:pPr>
      <w:r>
        <w:rPr>
          <w:rFonts w:eastAsia="georgia" w:cs="georgia" w:ascii="georgia" w:hAnsi="georgia"/>
          <w:color w:val="000000"/>
          <w:sz w:val="21"/>
        </w:rPr>
        <w:t xml:space="preserve">numero di provvedimenti Garante su monitoraggio, profiling, disciplinare e decisioni automatizzate in ambito lavoristico.</w:t>
      </w:r>
      <w:bookmarkStart w:id="27" w:name="fnref5_2"/>
      <w:bookmarkEnd w:id="27"/>
      <w:hyperlink w:anchor="fn5">
        <w:r>
          <w:rPr>
            <w:rFonts w:eastAsia="helvetica neue" w:cs="helvetica neue" w:ascii="helvetica neue" w:hAnsi="helvetica neue"/>
            <w:color w:val="#000"/>
            <w:sz w:val="21"/>
            <w:u w:val="single"/>
            <w:vertAlign w:val="superscript"/>
          </w:rPr>
          <w:t xml:space="preserve">[5]</w:t>
        </w:r>
      </w:hyperlink>
      <w:bookmarkStart w:id="28" w:name="fnref3_3"/>
      <w:bookmarkEnd w:id="28"/>
      <w:hyperlink w:anchor="fn3">
        <w:r>
          <w:rPr>
            <w:rFonts w:eastAsia="helvetica neue" w:cs="helvetica neue" w:ascii="helvetica neue" w:hAnsi="helvetica neue"/>
            <w:color w:val="#000"/>
            <w:sz w:val="21"/>
            <w:u w:val="single"/>
            <w:vertAlign w:val="superscript"/>
          </w:rPr>
          <w:t xml:space="preserve">[3]</w:t>
        </w:r>
      </w:hyperlink>
    </w:p>
    <w:p>
      <w:pPr>
        <w:numPr>
          <w:ilvl w:val="0"/>
          <w:numId w:val="1"/>
        </w:numPr>
        <w:spacing w:line="360" w:before="105" w:after="105" w:lineRule="auto"/>
      </w:pPr>
      <w:r>
        <w:rPr>
          <w:rFonts w:eastAsia="georgia" w:cs="georgia" w:ascii="georgia" w:hAnsi="georgia"/>
          <w:color w:val="000000"/>
          <w:sz w:val="21"/>
        </w:rPr>
        <w:t xml:space="preserve">numero di controversie giudiziarie su accesso ai dati, licenziamenti basati su tool digitali e uso di evidenze tratte da social/chat.</w:t>
      </w:r>
      <w:bookmarkStart w:id="29" w:name="fnref12"/>
      <w:bookmarkEnd w:id="29"/>
      <w:hyperlink w:anchor="fn12">
        <w:r>
          <w:rPr>
            <w:rFonts w:eastAsia="helvetica neue" w:cs="helvetica neue" w:ascii="helvetica neue" w:hAnsi="helvetica neue"/>
            <w:color w:val="#000"/>
            <w:sz w:val="21"/>
            <w:u w:val="single"/>
            <w:vertAlign w:val="superscript"/>
          </w:rPr>
          <w:t xml:space="preserve">[12]</w:t>
        </w:r>
      </w:hyperlink>
      <w:bookmarkStart w:id="30" w:name="fnref3_4"/>
      <w:bookmarkEnd w:id="30"/>
      <w:hyperlink w:anchor="fn3">
        <w:r>
          <w:rPr>
            <w:rFonts w:eastAsia="helvetica neue" w:cs="helvetica neue" w:ascii="helvetica neue" w:hAnsi="helvetica neue"/>
            <w:color w:val="#000"/>
            <w:sz w:val="21"/>
            <w:u w:val="single"/>
            <w:vertAlign w:val="superscript"/>
          </w:rPr>
          <w:t xml:space="preserve">[3]</w:t>
        </w:r>
      </w:hyperlink>
    </w:p>
    <w:p>
      <w:pPr>
        <w:numPr>
          <w:ilvl w:val="0"/>
          <w:numId w:val="1"/>
        </w:numPr>
        <w:spacing w:line="360" w:before="105" w:after="105" w:lineRule="auto"/>
      </w:pPr>
      <w:r>
        <w:rPr>
          <w:rFonts w:eastAsia="georgia" w:cs="georgia" w:ascii="georgia" w:hAnsi="georgia"/>
          <w:color w:val="000000"/>
          <w:sz w:val="21"/>
        </w:rPr>
        <w:t xml:space="preserve">presenza di obblighi sindacali ex legge 132/2025 e relativa prassi aziendale.</w:t>
      </w:r>
      <w:bookmarkStart w:id="31" w:name="fnref9_1"/>
      <w:bookmarkEnd w:id="31"/>
      <w:hyperlink w:anchor="fn9">
        <w:r>
          <w:rPr>
            <w:rFonts w:eastAsia="helvetica neue" w:cs="helvetica neue" w:ascii="helvetica neue" w:hAnsi="helvetica neue"/>
            <w:color w:val="#000"/>
            <w:sz w:val="21"/>
            <w:u w:val="single"/>
            <w:vertAlign w:val="superscript"/>
          </w:rPr>
          <w:t xml:space="preserve">[9]</w:t>
        </w:r>
      </w:hyperlink>
      <w:bookmarkStart w:id="32" w:name="fnref8_2"/>
      <w:bookmarkEnd w:id="32"/>
      <w:hyperlink w:anchor="fn8">
        <w:r>
          <w:rPr>
            <w:rFonts w:eastAsia="helvetica neue" w:cs="helvetica neue" w:ascii="helvetica neue" w:hAnsi="helvetica neue"/>
            <w:color w:val="#000"/>
            <w:sz w:val="21"/>
            <w:u w:val="single"/>
            <w:vertAlign w:val="superscript"/>
          </w:rPr>
          <w:t xml:space="preserve">[8]</w:t>
        </w:r>
      </w:hyperlink>
    </w:p>
    <w:p>
      <w:pPr>
        <w:numPr>
          <w:ilvl w:val="0"/>
          <w:numId w:val="1"/>
        </w:numPr>
        <w:spacing w:line="360" w:before="105" w:after="105" w:lineRule="auto"/>
      </w:pPr>
      <w:r>
        <w:rPr>
          <w:rFonts w:eastAsia="georgia" w:cs="georgia" w:ascii="georgia" w:hAnsi="georgia"/>
          <w:color w:val="000000"/>
          <w:sz w:val="21"/>
        </w:rPr>
        <w:t xml:space="preserve">casi di contrattazione collettiva o accordi aziendali sull’AI, come indicatore della capacità dei sindacati di incidere ex ante.</w:t>
      </w:r>
      <w:bookmarkStart w:id="33" w:name="fnref10_1"/>
      <w:bookmarkEnd w:id="33"/>
      <w:hyperlink w:anchor="fn10">
        <w:r>
          <w:rPr>
            <w:rFonts w:eastAsia="helvetica neue" w:cs="helvetica neue" w:ascii="helvetica neue" w:hAnsi="helvetica neue"/>
            <w:color w:val="#000"/>
            <w:sz w:val="21"/>
            <w:u w:val="single"/>
            <w:vertAlign w:val="superscript"/>
          </w:rPr>
          <w:t xml:space="preserve">[10]</w:t>
        </w:r>
      </w:hyperlink>
    </w:p>
    <w:p>
      <w:pPr>
        <w:numPr>
          <w:ilvl w:val="0"/>
          <w:numId w:val="1"/>
        </w:numPr>
        <w:spacing w:line="360" w:before="105" w:after="105" w:lineRule="auto"/>
      </w:pPr>
      <w:r>
        <w:rPr>
          <w:rFonts w:eastAsia="georgia" w:cs="georgia" w:ascii="georgia" w:hAnsi="georgia"/>
          <w:color w:val="000000"/>
          <w:sz w:val="21"/>
        </w:rPr>
        <w:t xml:space="preserve">eventuali sanzioni per omissione informativa o per violazioni privacy collegate all’AI, perché spesso sono più numerose delle sentenze definitive.</w:t>
      </w:r>
      <w:bookmarkStart w:id="34" w:name="fnref3_5"/>
      <w:bookmarkEnd w:id="34"/>
      <w:hyperlink w:anchor="fn3">
        <w:r>
          <w:rPr>
            <w:rFonts w:eastAsia="helvetica neue" w:cs="helvetica neue" w:ascii="helvetica neue" w:hAnsi="helvetica neue"/>
            <w:color w:val="#000"/>
            <w:sz w:val="21"/>
            <w:u w:val="single"/>
            <w:vertAlign w:val="superscript"/>
          </w:rPr>
          <w:t xml:space="preserve">[3]</w:t>
        </w:r>
      </w:hyperlink>
      <w:bookmarkStart w:id="35" w:name="fnref8_3"/>
      <w:bookmarkEnd w:id="35"/>
      <w:hyperlink w:anchor="fn8">
        <w:r>
          <w:rPr>
            <w:rFonts w:eastAsia="helvetica neue" w:cs="helvetica neue" w:ascii="helvetica neue" w:hAnsi="helvetica neue"/>
            <w:color w:val="#000"/>
            <w:sz w:val="21"/>
            <w:u w:val="single"/>
            <w:vertAlign w:val="superscript"/>
          </w:rPr>
          <w:t xml:space="preserve">[8]</w:t>
        </w:r>
      </w:hyperlink>
    </w:p>
    <w:p>
      <w:pPr>
        <w:spacing w:line="360" w:before="315" w:after="105" w:lineRule="auto"/>
        <w:ind w:left="-30"/>
        <w:jc w:val="left"/>
      </w:pPr>
      <w:bookmarkStart w:id="36" w:name="lettura_giuridica"/>
      <w:r>
        <w:rPr>
          <w:rFonts w:eastAsia="georgia" w:cs="georgia" w:ascii="georgia" w:hAnsi="georgia"/>
          <w:b/>
          <w:color w:val="000000"/>
          <w:sz w:val="24"/>
        </w:rPr>
        <w:t xml:space="preserve">Lettura giuridica</w:t>
      </w:r>
      <w:bookmarkEnd w:id="36"/>
    </w:p>
    <w:p>
      <w:pPr>
        <w:spacing w:line="360" w:after="210" w:lineRule="auto"/>
      </w:pPr>
      <w:r>
        <w:rPr>
          <w:rFonts w:eastAsia="georgia" w:cs="georgia" w:ascii="georgia" w:hAnsi="georgia"/>
          <w:color w:val="000000"/>
        </w:rPr>
        <w:t xml:space="preserve">Dal punto di vista giuridico, la traiettoria è chiara: la disciplina si sta spostando da un modello centrato solo sul GDPR a uno più ampio, in cui AI, trasparenza, non discriminazione, sicurezza e partecipazione collettiva convivono. Per un giurista d’impresa, questo significa che la mappa del rischio va costruita su tre livelli: trattamento dati, decisione automatizzata e relazioni industriali. Il sindacato non è più solo un interlocutore “sociale”, ma un soggetto che entra nella compliance del sistema AI in azienda.</w:t>
      </w:r>
      <w:bookmarkStart w:id="37" w:name="fnref2_3"/>
      <w:bookmarkEnd w:id="37"/>
      <w:hyperlink w:anchor="fn2">
        <w:r>
          <w:rPr>
            <w:rFonts w:eastAsia="helvetica neue" w:cs="helvetica neue" w:ascii="helvetica neue" w:hAnsi="helvetica neue"/>
            <w:color w:val="#000"/>
            <w:u w:val="single"/>
            <w:vertAlign w:val="superscript"/>
          </w:rPr>
          <w:t xml:space="preserve">[2]</w:t>
        </w:r>
      </w:hyperlink>
      <w:bookmarkStart w:id="38" w:name="fnref13"/>
      <w:bookmarkEnd w:id="38"/>
      <w:hyperlink w:anchor="fn13">
        <w:r>
          <w:rPr>
            <w:rFonts w:eastAsia="helvetica neue" w:cs="helvetica neue" w:ascii="helvetica neue" w:hAnsi="helvetica neue"/>
            <w:color w:val="#000"/>
            <w:u w:val="single"/>
            <w:vertAlign w:val="superscript"/>
          </w:rPr>
          <w:t xml:space="preserve">[13]</w:t>
        </w:r>
      </w:hyperlink>
      <w:bookmarkStart w:id="39" w:name="fnref8_4"/>
      <w:bookmarkEnd w:id="39"/>
      <w:hyperlink w:anchor="fn8">
        <w:r>
          <w:rPr>
            <w:rFonts w:eastAsia="helvetica neue" w:cs="helvetica neue" w:ascii="helvetica neue" w:hAnsi="helvetica neue"/>
            <w:color w:val="#000"/>
            <w:u w:val="single"/>
            <w:vertAlign w:val="superscript"/>
          </w:rPr>
          <w:t xml:space="preserve">[8]</w:t>
        </w:r>
      </w:hyperlink>
      <w:bookmarkStart w:id="40" w:name="fnref10_2"/>
      <w:bookmarkEnd w:id="40"/>
      <w:hyperlink w:anchor="fn10">
        <w:r>
          <w:rPr>
            <w:rFonts w:eastAsia="helvetica neue" w:cs="helvetica neue" w:ascii="helvetica neue" w:hAnsi="helvetica neue"/>
            <w:color w:val="#000"/>
            <w:u w:val="single"/>
            <w:vertAlign w:val="superscript"/>
          </w:rPr>
          <w:t xml:space="preserve">[10]</w:t>
        </w:r>
      </w:hyperlink>
    </w:p>
    <w:p>
      <w:pPr>
        <w:spacing w:line="360" w:after="210" w:lineRule="auto"/>
      </w:pPr>
      <w:r>
        <w:rPr>
          <w:rFonts w:eastAsia="georgia" w:cs="georgia" w:ascii="georgia" w:hAnsi="georgia"/>
          <w:color w:val="000000"/>
        </w:rPr>
        <w:t xml:space="preserve">Posso anche trasformare questa risposta in una </w:t>
      </w:r>
      <w:r>
        <w:rPr>
          <w:rFonts w:eastAsia="georgia" w:cs="georgia" w:ascii="georgia" w:hAnsi="georgia"/>
          <w:b/>
          <w:color w:val="000000"/>
        </w:rPr>
        <w:t xml:space="preserve">mappa operativa con casistiche, autorità coinvolte, esiti e ruolo sindacale</w:t>
      </w:r>
      <w:r>
        <w:rPr>
          <w:rFonts w:eastAsia="georgia" w:cs="georgia" w:ascii="georgia" w:hAnsi="georgia"/>
          <w:color w:val="000000"/>
        </w:rPr>
        <w:t xml:space="preserve">, oppure in una </w:t>
      </w:r>
      <w:r>
        <w:rPr>
          <w:rFonts w:eastAsia="georgia" w:cs="georgia" w:ascii="georgia" w:hAnsi="georgia"/>
          <w:b/>
          <w:color w:val="000000"/>
        </w:rPr>
        <w:t xml:space="preserve">tabella pronta per una nota legale o un memo interno</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 w:name="quali_sanzioni_ha_irrogato_il_gar_75f883"/>
      <w:r>
        <w:rPr>
          <w:rFonts w:eastAsia="georgia" w:cs="georgia" w:ascii="georgia" w:hAnsi="georgia"/>
          <w:b/>
          <w:color w:val="000000"/>
          <w:sz w:val="39"/>
        </w:rPr>
        <w:t xml:space="preserve">Quali sanzioni ha irrogato il Garante privacy per violazioni AI Act</w:t>
      </w:r>
      <w:bookmarkEnd w:id="41"/>
    </w:p>
    <w:p>
      <w:pPr>
        <w:spacing w:line="360" w:after="210" w:lineRule="auto"/>
      </w:pPr>
      <w:r>
        <w:rPr>
          <w:rFonts w:eastAsia="georgia" w:cs="georgia" w:ascii="georgia" w:hAnsi="georgia"/>
          <w:color w:val="000000"/>
        </w:rPr>
        <w:t xml:space="preserve">Ad oggi il Garante privacy non risulta aver irrogato sanzioni “per violazione dell’AI Act” in senso tecnico, perché il caso più chiaro disponibile è ancora costruito come </w:t>
      </w:r>
      <w:r>
        <w:rPr>
          <w:rFonts w:eastAsia="georgia" w:cs="georgia" w:ascii="georgia" w:hAnsi="georgia"/>
          <w:b/>
          <w:color w:val="000000"/>
        </w:rPr>
        <w:t xml:space="preserve">violazione del GDPR</w:t>
      </w:r>
      <w:r>
        <w:rPr>
          <w:rFonts w:eastAsia="georgia" w:cs="georgia" w:ascii="georgia" w:hAnsi="georgia"/>
          <w:color w:val="000000"/>
        </w:rPr>
        <w:t xml:space="preserve"> nell’ambito di un servizio di AI generativa, non come sanzione autonoma fondata sull’AI Act. Nel provvedimento su Replika, il Garante ha comminato a Luka Inc. una sanzione amministrativa di 5 milioni di euro e ha ordinato l’adeguamento dei trattamenti, contestando soprattutto base giuridica, informativa inadeguata e assenza di verifiche efficaci sull’età degli utenti.</w:t>
      </w:r>
      <w:bookmarkStart w:id="42" w:name="fnref42"/>
      <w:bookmarkEnd w:id="42"/>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43" w:name="quadro_sanzionatorio"/>
      <w:r>
        <w:rPr>
          <w:rFonts w:eastAsia="georgia" w:cs="georgia" w:ascii="georgia" w:hAnsi="georgia"/>
          <w:b/>
          <w:color w:val="000000"/>
          <w:sz w:val="24"/>
        </w:rPr>
        <w:t xml:space="preserve">Quadro sanzionatorio</w:t>
      </w:r>
      <w:bookmarkEnd w:id="43"/>
    </w:p>
    <w:p>
      <w:pPr>
        <w:spacing w:line="360" w:after="210" w:lineRule="auto"/>
      </w:pPr>
      <w:r>
        <w:rPr>
          <w:rFonts w:eastAsia="georgia" w:cs="georgia" w:ascii="georgia" w:hAnsi="georgia"/>
          <w:color w:val="000000"/>
        </w:rPr>
        <w:t xml:space="preserve">La fonte del Garante evidenzia che la sanzione è stata applicata per violazioni del Regolamento privacy, con richiamo a trattamento illecito, privacy policy insufficiente e carenze nei controlli per minori. È quindi più corretto dire che, allo stato, il Garante ha sanzionato </w:t>
      </w:r>
      <w:r>
        <w:rPr>
          <w:rFonts w:eastAsia="georgia" w:cs="georgia" w:ascii="georgia" w:hAnsi="georgia"/>
          <w:b/>
          <w:color w:val="000000"/>
        </w:rPr>
        <w:t xml:space="preserve">usi di AI</w:t>
      </w:r>
      <w:r>
        <w:rPr>
          <w:rFonts w:eastAsia="georgia" w:cs="georgia" w:ascii="georgia" w:hAnsi="georgia"/>
          <w:color w:val="000000"/>
        </w:rPr>
        <w:t xml:space="preserve"> per profili privacy, non una “violazione dell’AI Act” in quanto tale.</w:t>
      </w:r>
      <w:bookmarkStart w:id="44" w:name="fnref42_1"/>
      <w:bookmarkEnd w:id="44"/>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45" w:name="effetti_pratici"/>
      <w:r>
        <w:rPr>
          <w:rFonts w:eastAsia="georgia" w:cs="georgia" w:ascii="georgia" w:hAnsi="georgia"/>
          <w:b/>
          <w:color w:val="000000"/>
          <w:sz w:val="24"/>
        </w:rPr>
        <w:t xml:space="preserve">Effetti pratici</w:t>
      </w:r>
      <w:bookmarkEnd w:id="45"/>
    </w:p>
    <w:p>
      <w:pPr>
        <w:spacing w:line="360" w:after="210" w:lineRule="auto"/>
      </w:pPr>
      <w:r>
        <w:rPr>
          <w:rFonts w:eastAsia="georgia" w:cs="georgia" w:ascii="georgia" w:hAnsi="georgia"/>
          <w:color w:val="000000"/>
        </w:rPr>
        <w:t xml:space="preserve">Nel medesimo caso, l’Autorità ha anche avviato una nuova istruttoria sui trattamenti lungo l’intero ciclo di vita del sistema di AI generativa, chiedendo chiarimenti su dataset, misure di anonimizzazione/pseudonimizzazione e valutazione dei rischi. Questo segnala che il fronte sanzionatorio del Garante oggi si concentra su governance del dato, trasparenza e tutela dei minori, aspetti che resteranno centrali anche con l’attuazione dell’AI Act.</w:t>
      </w:r>
      <w:bookmarkStart w:id="46" w:name="fnref43"/>
      <w:bookmarkEnd w:id="46"/>
      <w:hyperlink w:anchor="fn43">
        <w:r>
          <w:rPr>
            <w:rFonts w:eastAsia="helvetica neue" w:cs="helvetica neue" w:ascii="helvetica neue" w:hAnsi="helvetica neue"/>
            <w:color w:val="#000"/>
            <w:u w:val="single"/>
            <w:vertAlign w:val="superscript"/>
          </w:rPr>
          <w:t xml:space="preserve">[43]</w:t>
        </w:r>
      </w:hyperlink>
      <w:bookmarkStart w:id="47" w:name="fnref42_2"/>
      <w:bookmarkEnd w:id="47"/>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48" w:name="implicazione_per_l_ai_act"/>
      <w:r>
        <w:rPr>
          <w:rFonts w:eastAsia="georgia" w:cs="georgia" w:ascii="georgia" w:hAnsi="georgia"/>
          <w:b/>
          <w:color w:val="000000"/>
          <w:sz w:val="24"/>
        </w:rPr>
        <w:t xml:space="preserve">Implicazione per l’AI Act</w:t>
      </w:r>
      <w:bookmarkEnd w:id="48"/>
    </w:p>
    <w:p>
      <w:pPr>
        <w:spacing w:line="360" w:after="210" w:lineRule="auto"/>
      </w:pPr>
      <w:r>
        <w:rPr>
          <w:rFonts w:eastAsia="georgia" w:cs="georgia" w:ascii="georgia" w:hAnsi="georgia"/>
          <w:color w:val="000000"/>
        </w:rPr>
        <w:t xml:space="preserve">In pratica, l’AI Act entrerà a regime come ulteriore livello regolatorio, ma il Garante continuerà verosimilmente a usare soprattutto i suoi poteri privacy quando l’AI comporta trattamenti di dati personali. Perciò, se cerchi un elenco di sanzioni già “AI Act-oriented”, oggi la risposta è che il catalogo è ancora limitato e la casistica più solida resta quella GDPR/AI.</w:t>
      </w:r>
      <w:bookmarkStart w:id="49" w:name="fnref44"/>
      <w:bookmarkEnd w:id="49"/>
      <w:hyperlink w:anchor="fn44">
        <w:r>
          <w:rPr>
            <w:rFonts w:eastAsia="helvetica neue" w:cs="helvetica neue" w:ascii="helvetica neue" w:hAnsi="helvetica neue"/>
            <w:color w:val="#000"/>
            <w:u w:val="single"/>
            <w:vertAlign w:val="superscript"/>
          </w:rPr>
          <w:t xml:space="preserve">[44]</w:t>
        </w:r>
      </w:hyperlink>
      <w:bookmarkStart w:id="50" w:name="fnref43_1"/>
      <w:bookmarkEnd w:id="50"/>
      <w:hyperlink w:anchor="fn43">
        <w:r>
          <w:rPr>
            <w:rFonts w:eastAsia="helvetica neue" w:cs="helvetica neue" w:ascii="helvetica neue" w:hAnsi="helvetica neue"/>
            <w:color w:val="#000"/>
            <w:u w:val="single"/>
            <w:vertAlign w:val="superscript"/>
          </w:rPr>
          <w:t xml:space="preserve">[43]</w:t>
        </w:r>
      </w:hyperlink>
      <w:bookmarkStart w:id="51" w:name="fnref42_3"/>
      <w:bookmarkEnd w:id="51"/>
      <w:hyperlink w:anchor="fn42">
        <w:r>
          <w:rPr>
            <w:rFonts w:eastAsia="helvetica neue" w:cs="helvetica neue" w:ascii="helvetica neue" w:hAnsi="helvetica neue"/>
            <w:color w:val="#000"/>
            <w:u w:val="single"/>
            <w:vertAlign w:val="superscript"/>
          </w:rPr>
          <w:t xml:space="preserve">[42]</w:t>
        </w:r>
      </w:hyperlink>
    </w:p>
    <w:p>
      <w:pPr>
        <w:spacing w:line="360" w:after="210" w:lineRule="auto"/>
      </w:pPr>
      <w:r>
        <w:rPr>
          <w:rFonts w:eastAsia="georgia" w:cs="georgia" w:ascii="georgia" w:hAnsi="georgia"/>
          <w:color w:val="000000"/>
        </w:rPr>
        <w:t xml:space="preserve">Vuoi che ti prepari una tabella con i principali provvedimenti del Garante su AI e privacy, separando sanzioni, blocchi, prescrizioni e importi?</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2" w:name="negli_ultimi_giorni_un_dipendente_1d026b"/>
      <w:r>
        <w:rPr>
          <w:rFonts w:eastAsia="georgia" w:cs="georgia" w:ascii="georgia" w:hAnsi="georgia"/>
          <w:b/>
          <w:color w:val="000000"/>
          <w:sz w:val="39"/>
        </w:rPr>
        <w:t xml:space="preserve">negli ultimi giorni un dipendente in China ha vinto una causa intentata per aver perso l'occupazione a causa di una integrazione AI di processo: ti risulta ?</w:t>
      </w:r>
      <w:bookmarkEnd w:id="52"/>
    </w:p>
    <w:p>
      <w:pPr>
        <w:spacing w:line="360" w:after="210" w:lineRule="auto"/>
      </w:pPr>
      <w:r>
        <w:rPr>
          <w:rFonts w:eastAsia="georgia" w:cs="georgia" w:ascii="georgia" w:hAnsi="georgia"/>
          <w:color w:val="000000"/>
        </w:rPr>
        <w:t xml:space="preserve">Sì, mi risulta: negli ultimi giorni è circolata una decisione del tribunale di Hangzhou in cui un lavoratore ha ottenuto ragione dopo essere stato licenziato perché le sue mansioni erano state sostituite da sistemi di AI, con riconoscimento di un risarcimento e giudizio di illegittimità del recesso.</w:t>
      </w:r>
      <w:bookmarkStart w:id="53" w:name="fnref51"/>
      <w:bookmarkEnd w:id="53"/>
      <w:hyperlink w:anchor="fn51">
        <w:r>
          <w:rPr>
            <w:rFonts w:eastAsia="helvetica neue" w:cs="helvetica neue" w:ascii="helvetica neue" w:hAnsi="helvetica neue"/>
            <w:color w:val="#000"/>
            <w:u w:val="single"/>
            <w:vertAlign w:val="superscript"/>
          </w:rPr>
          <w:t xml:space="preserve">[51]</w:t>
        </w:r>
      </w:hyperlink>
      <w:bookmarkStart w:id="54" w:name="fnref52"/>
      <w:bookmarkEnd w:id="54"/>
      <w:hyperlink w:anchor="fn52">
        <w:r>
          <w:rPr>
            <w:rFonts w:eastAsia="helvetica neue" w:cs="helvetica neue" w:ascii="helvetica neue" w:hAnsi="helvetica neue"/>
            <w:color w:val="#000"/>
            <w:u w:val="single"/>
            <w:vertAlign w:val="superscript"/>
          </w:rPr>
          <w:t xml:space="preserve">[52]</w:t>
        </w:r>
      </w:hyperlink>
      <w:bookmarkStart w:id="55" w:name="fnref53"/>
      <w:bookmarkEnd w:id="55"/>
      <w:hyperlink w:anchor="fn53">
        <w:r>
          <w:rPr>
            <w:rFonts w:eastAsia="helvetica neue" w:cs="helvetica neue" w:ascii="helvetica neue" w:hAnsi="helvetica neue"/>
            <w:color w:val="#000"/>
            <w:u w:val="single"/>
            <w:vertAlign w:val="superscript"/>
          </w:rPr>
          <w:t xml:space="preserve">[53]</w:t>
        </w:r>
      </w:hyperlink>
    </w:p>
    <w:p>
      <w:pPr>
        <w:spacing w:line="360" w:before="315" w:after="105" w:lineRule="auto"/>
        <w:ind w:left="-30"/>
        <w:jc w:val="left"/>
      </w:pPr>
      <w:bookmarkStart w:id="56" w:name="che_cosa_ha_deciso_il_giudice"/>
      <w:r>
        <w:rPr>
          <w:rFonts w:eastAsia="georgia" w:cs="georgia" w:ascii="georgia" w:hAnsi="georgia"/>
          <w:b/>
          <w:color w:val="000000"/>
          <w:sz w:val="24"/>
        </w:rPr>
        <w:t xml:space="preserve">Che cosa ha deciso il giudice</w:t>
      </w:r>
      <w:bookmarkEnd w:id="56"/>
    </w:p>
    <w:p>
      <w:pPr>
        <w:spacing w:line="360" w:after="210" w:lineRule="auto"/>
      </w:pPr>
      <w:r>
        <w:rPr>
          <w:rFonts w:eastAsia="georgia" w:cs="georgia" w:ascii="georgia" w:hAnsi="georgia"/>
          <w:color w:val="000000"/>
        </w:rPr>
        <w:t xml:space="preserve">La tesi aziendale era che l’automazione e il minor costo dell’AI giustificassero la riorganizzazione e il licenziamento, ma i giudici l’hanno respinta, affermando che la semplice adozione di AI non equivale automaticamente a una causa legittima di risoluzione del rapporto. Le ricostruzioni giornalistiche riportano anche che, nel caso, al lavoratore era stata proposta una retrocessione con taglio salariale del 40%, poi seguita dal licenziamento dopo il rifiuto.</w:t>
      </w:r>
      <w:bookmarkStart w:id="57" w:name="fnref54"/>
      <w:bookmarkEnd w:id="57"/>
      <w:hyperlink w:anchor="fn54">
        <w:r>
          <w:rPr>
            <w:rFonts w:eastAsia="helvetica neue" w:cs="helvetica neue" w:ascii="helvetica neue" w:hAnsi="helvetica neue"/>
            <w:color w:val="#000"/>
            <w:u w:val="single"/>
            <w:vertAlign w:val="superscript"/>
          </w:rPr>
          <w:t xml:space="preserve">[54]</w:t>
        </w:r>
      </w:hyperlink>
      <w:bookmarkStart w:id="58" w:name="fnref55"/>
      <w:bookmarkEnd w:id="58"/>
      <w:hyperlink w:anchor="fn55">
        <w:r>
          <w:rPr>
            <w:rFonts w:eastAsia="helvetica neue" w:cs="helvetica neue" w:ascii="helvetica neue" w:hAnsi="helvetica neue"/>
            <w:color w:val="#000"/>
            <w:u w:val="single"/>
            <w:vertAlign w:val="superscript"/>
          </w:rPr>
          <w:t xml:space="preserve">[55]</w:t>
        </w:r>
      </w:hyperlink>
      <w:bookmarkStart w:id="59" w:name="fnref51_1"/>
      <w:bookmarkEnd w:id="59"/>
      <w:hyperlink w:anchor="fn51">
        <w:r>
          <w:rPr>
            <w:rFonts w:eastAsia="helvetica neue" w:cs="helvetica neue" w:ascii="helvetica neue" w:hAnsi="helvetica neue"/>
            <w:color w:val="#000"/>
            <w:u w:val="single"/>
            <w:vertAlign w:val="superscript"/>
          </w:rPr>
          <w:t xml:space="preserve">[51]</w:t>
        </w:r>
      </w:hyperlink>
    </w:p>
    <w:p>
      <w:pPr>
        <w:spacing w:line="360" w:before="315" w:after="105" w:lineRule="auto"/>
        <w:ind w:left="-30"/>
        <w:jc w:val="left"/>
      </w:pPr>
      <w:bookmarkStart w:id="60" w:name="perché_è_rilevante"/>
      <w:r>
        <w:rPr>
          <w:rFonts w:eastAsia="georgia" w:cs="georgia" w:ascii="georgia" w:hAnsi="georgia"/>
          <w:b/>
          <w:color w:val="000000"/>
          <w:sz w:val="24"/>
        </w:rPr>
        <w:t xml:space="preserve">Perché è rilevante</w:t>
      </w:r>
      <w:bookmarkEnd w:id="60"/>
    </w:p>
    <w:p>
      <w:pPr>
        <w:spacing w:line="360" w:after="210" w:lineRule="auto"/>
      </w:pPr>
      <w:r>
        <w:rPr>
          <w:rFonts w:eastAsia="georgia" w:cs="georgia" w:ascii="georgia" w:hAnsi="georgia"/>
          <w:color w:val="000000"/>
        </w:rPr>
        <w:t xml:space="preserve">Il punto giuridico è che l’automazione viene trattata come scelta organizzativa dell’impresa, ma non come base automatica per scaricare sul dipendente il costo della trasformazione tecnologica. In altre parole, la sentenza sembra imporre un dovere di ricollocazione o comunque di gestione non arbitraria dell’esubero, invece di un licenziamento “per AI” in sé.</w:t>
      </w:r>
      <w:bookmarkStart w:id="61" w:name="fnref52_1"/>
      <w:bookmarkEnd w:id="61"/>
      <w:hyperlink w:anchor="fn52">
        <w:r>
          <w:rPr>
            <w:rFonts w:eastAsia="helvetica neue" w:cs="helvetica neue" w:ascii="helvetica neue" w:hAnsi="helvetica neue"/>
            <w:color w:val="#000"/>
            <w:u w:val="single"/>
            <w:vertAlign w:val="superscript"/>
          </w:rPr>
          <w:t xml:space="preserve">[52]</w:t>
        </w:r>
      </w:hyperlink>
      <w:bookmarkStart w:id="62" w:name="fnref53_1"/>
      <w:bookmarkEnd w:id="62"/>
      <w:hyperlink w:anchor="fn53">
        <w:r>
          <w:rPr>
            <w:rFonts w:eastAsia="helvetica neue" w:cs="helvetica neue" w:ascii="helvetica neue" w:hAnsi="helvetica neue"/>
            <w:color w:val="#000"/>
            <w:u w:val="single"/>
            <w:vertAlign w:val="superscript"/>
          </w:rPr>
          <w:t xml:space="preserve">[53]</w:t>
        </w:r>
      </w:hyperlink>
      <w:bookmarkStart w:id="63" w:name="fnref51_2"/>
      <w:bookmarkEnd w:id="63"/>
      <w:hyperlink w:anchor="fn51">
        <w:r>
          <w:rPr>
            <w:rFonts w:eastAsia="helvetica neue" w:cs="helvetica neue" w:ascii="helvetica neue" w:hAnsi="helvetica neue"/>
            <w:color w:val="#000"/>
            <w:u w:val="single"/>
            <w:vertAlign w:val="superscript"/>
          </w:rPr>
          <w:t xml:space="preserve">[51]</w:t>
        </w:r>
      </w:hyperlink>
      <w:bookmarkStart w:id="64" w:name="fnref54_1"/>
      <w:bookmarkEnd w:id="64"/>
      <w:hyperlink w:anchor="fn54">
        <w:r>
          <w:rPr>
            <w:rFonts w:eastAsia="helvetica neue" w:cs="helvetica neue" w:ascii="helvetica neue" w:hAnsi="helvetica neue"/>
            <w:color w:val="#000"/>
            <w:u w:val="single"/>
            <w:vertAlign w:val="superscript"/>
          </w:rPr>
          <w:t xml:space="preserve">[54]</w:t>
        </w:r>
      </w:hyperlink>
    </w:p>
    <w:p>
      <w:pPr>
        <w:spacing w:line="360" w:before="315" w:after="105" w:lineRule="auto"/>
        <w:ind w:left="-30"/>
        <w:jc w:val="left"/>
      </w:pPr>
      <w:bookmarkStart w:id="65" w:name="attenzione_alla_verifica"/>
      <w:r>
        <w:rPr>
          <w:rFonts w:eastAsia="georgia" w:cs="georgia" w:ascii="georgia" w:hAnsi="georgia"/>
          <w:b/>
          <w:color w:val="000000"/>
          <w:sz w:val="24"/>
        </w:rPr>
        <w:t xml:space="preserve">Attenzione alla verifica</w:t>
      </w:r>
      <w:bookmarkEnd w:id="65"/>
    </w:p>
    <w:p>
      <w:pPr>
        <w:spacing w:line="360" w:after="210" w:lineRule="auto"/>
      </w:pPr>
      <w:r>
        <w:rPr>
          <w:rFonts w:eastAsia="georgia" w:cs="georgia" w:ascii="georgia" w:hAnsi="georgia"/>
          <w:color w:val="000000"/>
        </w:rPr>
        <w:t xml:space="preserve">Le fonti che ho trovato sono per ora soprattutto articoli di stampa e commenti, non il testo integrale della sentenza; quindi il fatto storico è plausibile e abbastanza coerente tra più fonti, ma la qualificazione tecnica precisa va confermata sul provvedimento originale.</w:t>
      </w:r>
      <w:bookmarkStart w:id="66" w:name="fnref56"/>
      <w:bookmarkEnd w:id="66"/>
      <w:hyperlink w:anchor="fn56">
        <w:r>
          <w:rPr>
            <w:rFonts w:eastAsia="helvetica neue" w:cs="helvetica neue" w:ascii="helvetica neue" w:hAnsi="helvetica neue"/>
            <w:color w:val="#000"/>
            <w:u w:val="single"/>
            <w:vertAlign w:val="superscript"/>
          </w:rPr>
          <w:t xml:space="preserve">[56]</w:t>
        </w:r>
      </w:hyperlink>
      <w:bookmarkStart w:id="67" w:name="fnref57"/>
      <w:bookmarkEnd w:id="67"/>
      <w:hyperlink w:anchor="fn57">
        <w:r>
          <w:rPr>
            <w:rFonts w:eastAsia="helvetica neue" w:cs="helvetica neue" w:ascii="helvetica neue" w:hAnsi="helvetica neue"/>
            <w:color w:val="#000"/>
            <w:u w:val="single"/>
            <w:vertAlign w:val="superscript"/>
          </w:rPr>
          <w:t xml:space="preserve">[57]</w:t>
        </w:r>
      </w:hyperlink>
      <w:bookmarkStart w:id="68" w:name="fnref52_2"/>
      <w:bookmarkEnd w:id="68"/>
      <w:hyperlink w:anchor="fn52">
        <w:r>
          <w:rPr>
            <w:rFonts w:eastAsia="helvetica neue" w:cs="helvetica neue" w:ascii="helvetica neue" w:hAnsi="helvetica neue"/>
            <w:color w:val="#000"/>
            <w:u w:val="single"/>
            <w:vertAlign w:val="superscript"/>
          </w:rPr>
          <w:t xml:space="preserve">[52]</w:t>
        </w:r>
      </w:hyperlink>
    </w:p>
    <w:p>
      <w:pPr>
        <w:spacing w:line="360" w:after="210" w:lineRule="auto"/>
      </w:pPr>
      <w:r>
        <w:rPr>
          <w:rFonts w:eastAsia="georgia" w:cs="georgia" w:ascii="georgia" w:hAnsi="georgia"/>
          <w:color w:val="000000"/>
        </w:rPr>
        <w:t xml:space="preserve">Se vuoi, posso prepararti una nota comparativa </w:t>
      </w:r>
      <w:r>
        <w:rPr>
          <w:rFonts w:eastAsia="georgia" w:cs="georgia" w:ascii="georgia" w:hAnsi="georgia"/>
          <w:b/>
          <w:color w:val="000000"/>
        </w:rPr>
        <w:t xml:space="preserve">Cina vs Italia/UE</w:t>
      </w:r>
      <w:r>
        <w:rPr>
          <w:rFonts w:eastAsia="georgia" w:cs="georgia" w:ascii="georgia" w:hAnsi="georgia"/>
          <w:color w:val="000000"/>
        </w:rPr>
        <w:t xml:space="preserve"> su licenziamenti, automazione e AI nel rapporto di lavoro.</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 w:name="utilizzando_la_presente_chat_per_93a413"/>
      <w:r>
        <w:rPr>
          <w:rFonts w:eastAsia="georgia" w:cs="georgia" w:ascii="georgia" w:hAnsi="georgia"/>
          <w:b/>
          <w:color w:val="000000"/>
          <w:sz w:val="39"/>
        </w:rPr>
        <w:t xml:space="preserve">utilizzando la presente chat per definire il contesto specifico, scrivi un articolo per il linkedin di Vittorio Bellini (vedi altra scheda aperta), agendo secondo i seguenti step:</w:t>
      </w:r>
      <w:bookmarkEnd w:id="69"/>
    </w:p>
    <w:p>
      <w:pPr>
        <w:numPr>
          <w:ilvl w:val="0"/>
          <w:numId w:val="2"/>
        </w:numPr>
        <w:spacing w:line="360" w:before="105" w:after="105" w:lineRule="auto"/>
      </w:pPr>
      <w:r>
        <w:rPr>
          <w:rFonts w:eastAsia="georgia" w:cs="georgia" w:ascii="georgia" w:hAnsi="georgia"/>
          <w:color w:val="000000"/>
          <w:sz w:val="21"/>
        </w:rPr>
        <w:t xml:space="preserve">analisi dello stile narrativo utilizzato negli articoli finora pubblicati;</w:t>
      </w:r>
    </w:p>
    <w:p>
      <w:pPr>
        <w:numPr>
          <w:ilvl w:val="0"/>
          <w:numId w:val="2"/>
        </w:numPr>
        <w:spacing w:line="360" w:before="105" w:after="105" w:lineRule="auto"/>
      </w:pPr>
      <w:r>
        <w:rPr>
          <w:rFonts w:eastAsia="georgia" w:cs="georgia" w:ascii="georgia" w:hAnsi="georgia"/>
          <w:color w:val="000000"/>
          <w:sz w:val="21"/>
        </w:rPr>
        <w:t xml:space="preserve">utilizzo della decisione del tribunale di Hangzhou come incipit dell'articolo</w:t>
      </w:r>
    </w:p>
    <w:p>
      <w:pPr>
        <w:numPr>
          <w:ilvl w:val="0"/>
          <w:numId w:val="2"/>
        </w:numPr>
        <w:spacing w:line="360" w:before="105" w:after="105" w:lineRule="auto"/>
      </w:pPr>
      <w:r>
        <w:rPr>
          <w:rFonts w:eastAsia="georgia" w:cs="georgia" w:ascii="georgia" w:hAnsi="georgia"/>
          <w:color w:val="000000"/>
          <w:sz w:val="21"/>
        </w:rPr>
        <w:t xml:space="preserve">ipotesi di giudizio o vertenza sindacale per la mancata applicazione dell'AI act in Italia, con riferimento ad un ipotetico caso di demansionamento e di lincenziamento in PMI che sia causato da discriminazione e algorithmic management</w:t>
      </w:r>
    </w:p>
    <w:p>
      <w:pPr>
        <w:numPr>
          <w:ilvl w:val="0"/>
          <w:numId w:val="2"/>
        </w:numPr>
        <w:spacing w:line="360" w:before="105" w:after="105" w:lineRule="auto"/>
      </w:pPr>
      <w:r>
        <w:rPr>
          <w:rFonts w:eastAsia="georgia" w:cs="georgia" w:ascii="georgia" w:hAnsi="georgia"/>
          <w:color w:val="000000"/>
          <w:sz w:val="21"/>
        </w:rPr>
        <w:t xml:space="preserve">narrazione di un processo di identificazione precoce dei bias e di costruzione di soluzioni IA più eque e consapevoli, con riferimento all'ipotetico casodi cui sopra</w:t>
      </w:r>
    </w:p>
    <w:p>
      <w:pPr>
        <w:numPr>
          <w:ilvl w:val="0"/>
          <w:numId w:val="2"/>
        </w:numPr>
        <w:spacing w:line="360" w:before="105" w:after="105" w:lineRule="auto"/>
      </w:pPr>
      <w:r>
        <w:rPr>
          <w:rFonts w:eastAsia="georgia" w:cs="georgia" w:ascii="georgia" w:hAnsi="georgia"/>
          <w:color w:val="000000"/>
          <w:sz w:val="21"/>
        </w:rPr>
        <w:t xml:space="preserve">applicazione dello stile narrativo di Vittorio Bellini utilizzato negli articoli finora pubblicati.</w:t>
      </w:r>
    </w:p>
    <w:p>
      <w:pPr>
        <w:spacing w:line="360" w:after="210" w:lineRule="auto"/>
      </w:pPr>
      <w:r>
        <w:rPr>
          <w:rFonts w:eastAsia="georgia" w:cs="georgia" w:ascii="georgia" w:hAnsi="georgia"/>
          <w:color w:val="000000"/>
        </w:rPr>
        <w:t xml:space="preserve">Sì, posso farlo. Ti propongo direttamente una bozza di articolo in stile LinkedIn, già strutturata per il feed.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il_tuo_posto_non_lo_può_decidere_97f4bb"/>
      <w:r>
        <w:rPr>
          <w:rFonts w:eastAsia="georgia" w:cs="georgia" w:ascii="georgia" w:hAnsi="georgia"/>
          <w:b/>
          <w:color w:val="000000"/>
          <w:sz w:val="24"/>
        </w:rPr>
        <w:t xml:space="preserve">“Il tuo posto non lo può decidere un algoritmo”. Cosa ci insegna il caso cinese alle PMI italiane</w:t>
      </w:r>
      <w:bookmarkEnd w:id="70"/>
    </w:p>
    <w:p>
      <w:pPr>
        <w:spacing w:line="360" w:after="210" w:lineRule="auto"/>
      </w:pPr>
      <w:r>
        <w:rPr>
          <w:rFonts w:eastAsia="georgia" w:cs="georgia" w:ascii="georgia" w:hAnsi="georgia"/>
          <w:color w:val="000000"/>
        </w:rPr>
        <w:t xml:space="preserve">Nei giorni scorsi il tribunale di Hangzhou ha stabilito che un’azienda non può licenziare un lavoratore solo perché un sistema di intelligenza artificiale svolge le sue mansioni a minor costo.</w:t>
      </w:r>
      <w:r>
        <w:rPr>
          <w:rFonts w:eastAsia="georgia" w:cs="georgia" w:ascii="georgia" w:hAnsi="georgia"/>
          <w:color w:val="000000"/>
        </w:rPr>
        <w:br w:type="textWrapping"/>
      </w:r>
      <w:r>
        <w:rPr>
          <w:rFonts w:eastAsia="georgia" w:cs="georgia" w:ascii="georgia" w:hAnsi="georgia"/>
          <w:color w:val="000000"/>
        </w:rPr>
        <w:t xml:space="preserve">Il giudice ha dichiarato illegittimo il licenziamento e ha riconosciuto il diritto del dipendente alla tutela e al risarcimento, respingendo l’idea che “lo ha deciso l’AI” possa trasformarsi in giustificazione automatica di un esubero.</w:t>
      </w:r>
      <w:bookmarkStart w:id="71" w:name="fnref65"/>
      <w:bookmarkEnd w:id="71"/>
      <w:hyperlink w:anchor="fn65">
        <w:r>
          <w:rPr>
            <w:rFonts w:eastAsia="helvetica neue" w:cs="helvetica neue" w:ascii="helvetica neue" w:hAnsi="helvetica neue"/>
            <w:color w:val="#000"/>
            <w:u w:val="single"/>
            <w:vertAlign w:val="superscript"/>
          </w:rPr>
          <w:t xml:space="preserve">[65]</w:t>
        </w:r>
      </w:hyperlink>
      <w:bookmarkStart w:id="72" w:name="fnref66"/>
      <w:bookmarkEnd w:id="72"/>
      <w:hyperlink w:anchor="fn66">
        <w:r>
          <w:rPr>
            <w:rFonts w:eastAsia="helvetica neue" w:cs="helvetica neue" w:ascii="helvetica neue" w:hAnsi="helvetica neue"/>
            <w:color w:val="#000"/>
            <w:u w:val="single"/>
            <w:vertAlign w:val="superscript"/>
          </w:rPr>
          <w:t xml:space="preserve">[66]</w:t>
        </w:r>
      </w:hyperlink>
      <w:bookmarkStart w:id="73" w:name="fnref67"/>
      <w:bookmarkEnd w:id="73"/>
      <w:hyperlink w:anchor="fn67">
        <w:r>
          <w:rPr>
            <w:rFonts w:eastAsia="helvetica neue" w:cs="helvetica neue" w:ascii="helvetica neue" w:hAnsi="helvetica neue"/>
            <w:color w:val="#000"/>
            <w:u w:val="single"/>
            <w:vertAlign w:val="superscript"/>
          </w:rPr>
          <w:t xml:space="preserve">[67]</w:t>
        </w:r>
      </w:hyperlink>
    </w:p>
    <w:p>
      <w:pPr>
        <w:spacing w:line="360" w:after="210" w:lineRule="auto"/>
      </w:pPr>
      <w:r>
        <w:rPr>
          <w:rFonts w:eastAsia="georgia" w:cs="georgia" w:ascii="georgia" w:hAnsi="georgia"/>
          <w:color w:val="000000"/>
        </w:rPr>
        <w:t xml:space="preserve">Non è solo una notizia di colore dalla Cina.</w:t>
      </w:r>
      <w:r>
        <w:rPr>
          <w:rFonts w:eastAsia="georgia" w:cs="georgia" w:ascii="georgia" w:hAnsi="georgia"/>
          <w:color w:val="000000"/>
        </w:rPr>
        <w:br w:type="textWrapping"/>
      </w:r>
      <w:r>
        <w:rPr>
          <w:rFonts w:eastAsia="georgia" w:cs="georgia" w:ascii="georgia" w:hAnsi="georgia"/>
          <w:color w:val="000000"/>
        </w:rPr>
        <w:t xml:space="preserve">È un segnale molto concreto per chi, in Italia ed Europa, sta introducendo AI nei processi aziendali, spesso senza interrogarsi davvero su come questa trasformazione impatti sui diritti delle persone.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un_caso_ipotetico_ma_non_troppo_l_9bd167"/>
      <w:r>
        <w:rPr>
          <w:rFonts w:eastAsia="georgia" w:cs="georgia" w:ascii="georgia" w:hAnsi="georgia"/>
          <w:b/>
          <w:color w:val="000000"/>
          <w:sz w:val="24"/>
        </w:rPr>
        <w:t xml:space="preserve">Un caso “ipotetico”, ma non troppo: la PMI italiana che demansiona con l’algoritmo</w:t>
      </w:r>
      <w:bookmarkEnd w:id="74"/>
    </w:p>
    <w:p>
      <w:pPr>
        <w:spacing w:line="360" w:after="210" w:lineRule="auto"/>
      </w:pPr>
      <w:r>
        <w:rPr>
          <w:rFonts w:eastAsia="georgia" w:cs="georgia" w:ascii="georgia" w:hAnsi="georgia"/>
          <w:color w:val="000000"/>
        </w:rPr>
        <w:t xml:space="preserve">Immaginiamo una piccola azienda manifatturiera italiana di 60 dipendenti.</w:t>
      </w:r>
      <w:r>
        <w:rPr>
          <w:rFonts w:eastAsia="georgia" w:cs="georgia" w:ascii="georgia" w:hAnsi="georgia"/>
          <w:color w:val="000000"/>
        </w:rPr>
        <w:br w:type="textWrapping"/>
      </w:r>
      <w:r>
        <w:rPr>
          <w:rFonts w:eastAsia="georgia" w:cs="georgia" w:ascii="georgia" w:hAnsi="georgia"/>
          <w:color w:val="000000"/>
        </w:rPr>
        <w:t xml:space="preserve">Introduce una piattaforma di AI per:</w:t>
      </w:r>
    </w:p>
    <w:p>
      <w:pPr>
        <w:numPr>
          <w:ilvl w:val="0"/>
          <w:numId w:val="3"/>
        </w:numPr>
        <w:spacing w:line="360" w:before="105" w:after="105" w:lineRule="auto"/>
      </w:pPr>
      <w:r>
        <w:rPr>
          <w:rFonts w:eastAsia="georgia" w:cs="georgia" w:ascii="georgia" w:hAnsi="georgia"/>
          <w:color w:val="000000"/>
          <w:sz w:val="21"/>
        </w:rPr>
        <w:t xml:space="preserve">ottimizzare la schedulazione delle commesse</w:t>
      </w:r>
    </w:p>
    <w:p>
      <w:pPr>
        <w:numPr>
          <w:ilvl w:val="0"/>
          <w:numId w:val="3"/>
        </w:numPr>
        <w:spacing w:line="360" w:before="105" w:after="105" w:lineRule="auto"/>
      </w:pPr>
      <w:r>
        <w:rPr>
          <w:rFonts w:eastAsia="georgia" w:cs="georgia" w:ascii="georgia" w:hAnsi="georgia"/>
          <w:color w:val="000000"/>
          <w:sz w:val="21"/>
        </w:rPr>
        <w:t xml:space="preserve">valutare in tempo reale performance, errori e “collaboratività” dei singoli addetti</w:t>
      </w:r>
    </w:p>
    <w:p>
      <w:pPr>
        <w:numPr>
          <w:ilvl w:val="0"/>
          <w:numId w:val="3"/>
        </w:numPr>
        <w:spacing w:line="360" w:before="105" w:after="105" w:lineRule="auto"/>
      </w:pPr>
      <w:r>
        <w:rPr>
          <w:rFonts w:eastAsia="georgia" w:cs="georgia" w:ascii="georgia" w:hAnsi="georgia"/>
          <w:color w:val="000000"/>
          <w:sz w:val="21"/>
        </w:rPr>
        <w:t xml:space="preserve">suggerire ai capi reparto chi spostare, promuovere, “alleggerire”</w:t>
      </w:r>
    </w:p>
    <w:p>
      <w:pPr>
        <w:spacing w:line="360" w:after="210" w:lineRule="auto"/>
      </w:pPr>
      <w:r>
        <w:rPr>
          <w:rFonts w:eastAsia="georgia" w:cs="georgia" w:ascii="georgia" w:hAnsi="georgia"/>
          <w:color w:val="000000"/>
        </w:rPr>
        <w:t xml:space="preserve">In pochi mesi, alcuni profili con più anni di anzianità risultano sistematicamente “meno efficienti” secondo l’algoritmo.</w:t>
      </w:r>
      <w:r>
        <w:rPr>
          <w:rFonts w:eastAsia="georgia" w:cs="georgia" w:ascii="georgia" w:hAnsi="georgia"/>
          <w:color w:val="000000"/>
        </w:rPr>
        <w:br w:type="textWrapping"/>
      </w:r>
      <w:r>
        <w:rPr>
          <w:rFonts w:eastAsia="georgia" w:cs="georgia" w:ascii="georgia" w:hAnsi="georgia"/>
          <w:color w:val="000000"/>
        </w:rPr>
        <w:t xml:space="preserve">Uno di loro viene spostato da attività qualificate (programmazione macchine, gestione set-up) a mansioni meramente esecutive e ripetitive.</w:t>
      </w:r>
      <w:r>
        <w:rPr>
          <w:rFonts w:eastAsia="georgia" w:cs="georgia" w:ascii="georgia" w:hAnsi="georgia"/>
          <w:color w:val="000000"/>
        </w:rPr>
        <w:br w:type="textWrapping"/>
      </w:r>
      <w:r>
        <w:rPr>
          <w:rFonts w:eastAsia="georgia" w:cs="georgia" w:ascii="georgia" w:hAnsi="georgia"/>
          <w:color w:val="000000"/>
        </w:rPr>
        <w:t xml:space="preserve">Gli viene detto che “le nuove tecnologie richiedono skill diverse” e che l’AI ha evidenziato un calo di performance.</w:t>
      </w:r>
    </w:p>
    <w:p>
      <w:pPr>
        <w:spacing w:line="360" w:after="210" w:lineRule="auto"/>
      </w:pPr>
      <w:r>
        <w:rPr>
          <w:rFonts w:eastAsia="georgia" w:cs="georgia" w:ascii="georgia" w:hAnsi="georgia"/>
          <w:color w:val="000000"/>
        </w:rPr>
        <w:t xml:space="preserve">Il demansionamento è il primo passo.</w:t>
      </w:r>
      <w:r>
        <w:rPr>
          <w:rFonts w:eastAsia="georgia" w:cs="georgia" w:ascii="georgia" w:hAnsi="georgia"/>
          <w:color w:val="000000"/>
        </w:rPr>
        <w:br w:type="textWrapping"/>
      </w:r>
      <w:r>
        <w:rPr>
          <w:rFonts w:eastAsia="georgia" w:cs="georgia" w:ascii="georgia" w:hAnsi="georgia"/>
          <w:color w:val="000000"/>
        </w:rPr>
        <w:t xml:space="preserve">Dopo qualche mese, supportandosi su report estratti dal sistema, l’azienda avvia un licenziamento individuale “per giustificato motivo oggettivo”, adducendo la necessità di riorganizzare il reparto con l’ausilio dell’AI.</w:t>
      </w:r>
    </w:p>
    <w:p>
      <w:pPr>
        <w:spacing w:line="360" w:after="210" w:lineRule="auto"/>
      </w:pPr>
      <w:r>
        <w:rPr>
          <w:rFonts w:eastAsia="georgia" w:cs="georgia" w:ascii="georgia" w:hAnsi="georgia"/>
          <w:color w:val="000000"/>
        </w:rPr>
        <w:t xml:space="preserve">Sullo sfondo, due elementi chiave:</w:t>
      </w:r>
    </w:p>
    <w:p>
      <w:pPr>
        <w:numPr>
          <w:ilvl w:val="0"/>
          <w:numId w:val="4"/>
        </w:numPr>
        <w:spacing w:line="360" w:before="105" w:after="105" w:lineRule="auto"/>
      </w:pPr>
      <w:r>
        <w:rPr>
          <w:rFonts w:eastAsia="georgia" w:cs="georgia" w:ascii="georgia" w:hAnsi="georgia"/>
          <w:color w:val="000000"/>
          <w:sz w:val="21"/>
        </w:rPr>
        <w:t xml:space="preserve">nessuna informazione preventiva e trasparente al lavoratore e alle rappresentanze su come funziona il sistema, quali dati raccoglie, quali algoritmi utilizza</w:t>
      </w:r>
    </w:p>
    <w:p>
      <w:pPr>
        <w:numPr>
          <w:ilvl w:val="0"/>
          <w:numId w:val="4"/>
        </w:numPr>
        <w:spacing w:line="360" w:before="105" w:after="105" w:lineRule="auto"/>
      </w:pPr>
      <w:r>
        <w:rPr>
          <w:rFonts w:eastAsia="georgia" w:cs="georgia" w:ascii="georgia" w:hAnsi="georgia"/>
          <w:color w:val="000000"/>
          <w:sz w:val="21"/>
        </w:rPr>
        <w:t xml:space="preserve">nessuna valutazione seria dell’impatto discriminatorio (per età, genere, tipo di contratto) del modello che suggerisce chi “non è più adatto”</w:t>
      </w:r>
    </w:p>
    <w:p>
      <w:pPr>
        <w:spacing w:line="360" w:after="210" w:lineRule="auto"/>
      </w:pPr>
      <w:r>
        <w:rPr>
          <w:rFonts w:eastAsia="georgia" w:cs="georgia" w:ascii="georgia" w:hAnsi="georgia"/>
          <w:color w:val="000000"/>
        </w:rPr>
        <w:t xml:space="preserve">Se portiamo questo caso davanti a un giudice del lavoro italiano, oppure a una vertenza sindacale, quale scenario si apre alla luce di GDPR, AI Act e nuova normativa nazionale?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ai_act_gdpr_e_diritto_del_lavoro_ba2ddf"/>
      <w:r>
        <w:rPr>
          <w:rFonts w:eastAsia="georgia" w:cs="georgia" w:ascii="georgia" w:hAnsi="georgia"/>
          <w:b/>
          <w:color w:val="000000"/>
          <w:sz w:val="24"/>
        </w:rPr>
        <w:t xml:space="preserve">AI Act, GDPR e diritto del lavoro: dove può nascere il contenzioso</w:t>
      </w:r>
      <w:bookmarkEnd w:id="75"/>
    </w:p>
    <w:p>
      <w:pPr>
        <w:spacing w:line="360" w:after="210" w:lineRule="auto"/>
      </w:pPr>
      <w:r>
        <w:rPr>
          <w:rFonts w:eastAsia="georgia" w:cs="georgia" w:ascii="georgia" w:hAnsi="georgia"/>
          <w:color w:val="000000"/>
        </w:rPr>
        <w:t xml:space="preserve">Nel caso descritto, vedo almeno tre piste di vertenza:</w:t>
      </w:r>
    </w:p>
    <w:p>
      <w:pPr>
        <w:numPr>
          <w:ilvl w:val="0"/>
          <w:numId w:val="5"/>
        </w:numPr>
        <w:spacing w:line="360" w:after="210" w:lineRule="auto"/>
      </w:pPr>
      <w:r>
        <w:rPr>
          <w:rFonts w:eastAsia="georgia" w:cs="georgia" w:ascii="georgia" w:hAnsi="georgia"/>
          <w:b/>
          <w:color w:val="000000"/>
          <w:sz w:val="21"/>
        </w:rPr>
        <w:t xml:space="preserve">Violazione degli obblighi informativi e di trasparenza</w:t>
      </w:r>
      <w:r>
        <w:rPr>
          <w:rFonts w:eastAsia="georgia" w:cs="georgia" w:ascii="georgia" w:hAnsi="georgia"/>
          <w:color w:val="000000"/>
          <w:sz w:val="21"/>
        </w:rPr>
        <w:br w:type="textWrapping"/>
      </w:r>
      <w:r>
        <w:rPr>
          <w:rFonts w:eastAsia="georgia" w:cs="georgia" w:ascii="georgia" w:hAnsi="georgia"/>
          <w:color w:val="000000"/>
          <w:sz w:val="21"/>
        </w:rPr>
        <w:t xml:space="preserve">In Italia il datore di lavoro è già tenuto a informare lavoratori e sindacati sugli strumenti che utilizzano AI per controllare, valutare o organizzare il lavoro.</w:t>
      </w:r>
      <w:bookmarkStart w:id="76" w:name="fnref68"/>
      <w:bookmarkEnd w:id="76"/>
      <w:hyperlink w:anchor="fn68">
        <w:r>
          <w:rPr>
            <w:rFonts w:eastAsia="helvetica neue" w:cs="helvetica neue" w:ascii="helvetica neue" w:hAnsi="helvetica neue"/>
            <w:color w:val="#000"/>
            <w:sz w:val="21"/>
            <w:u w:val="single"/>
            <w:vertAlign w:val="superscript"/>
          </w:rPr>
          <w:t xml:space="preserve">[68]</w:t>
        </w:r>
      </w:hyperlink>
      <w:bookmarkStart w:id="77" w:name="fnref69"/>
      <w:bookmarkEnd w:id="77"/>
      <w:hyperlink w:anchor="fn69">
        <w:r>
          <w:rPr>
            <w:rFonts w:eastAsia="helvetica neue" w:cs="helvetica neue" w:ascii="helvetica neue" w:hAnsi="helvetica neue"/>
            <w:color w:val="#000"/>
            <w:sz w:val="21"/>
            <w:u w:val="single"/>
            <w:vertAlign w:val="superscript"/>
          </w:rPr>
          <w:t xml:space="preserve">[69]</w:t>
        </w:r>
      </w:hyperlink>
      <w:r>
        <w:rPr>
          <w:rFonts w:eastAsia="georgia" w:cs="georgia" w:ascii="georgia" w:hAnsi="georgia"/>
          <w:color w:val="000000"/>
          <w:sz w:val="21"/>
        </w:rPr>
        <w:br w:type="textWrapping"/>
      </w:r>
      <w:r>
        <w:rPr>
          <w:rFonts w:eastAsia="georgia" w:cs="georgia" w:ascii="georgia" w:hAnsi="georgia"/>
          <w:color w:val="000000"/>
          <w:sz w:val="21"/>
        </w:rPr>
        <w:t xml:space="preserve">L’assenza di una informativa chiara su: finalità, logica del sistema, categorie di dati trattati, decisioni influenzate dall’AI, è già di per sé un fronte di responsabilità privacy e lavoristica.</w:t>
      </w:r>
    </w:p>
    <w:p>
      <w:pPr>
        <w:numPr>
          <w:ilvl w:val="0"/>
          <w:numId w:val="5"/>
        </w:numPr>
        <w:spacing w:line="360" w:after="210" w:lineRule="auto"/>
      </w:pPr>
      <w:r>
        <w:rPr>
          <w:rFonts w:eastAsia="georgia" w:cs="georgia" w:ascii="georgia" w:hAnsi="georgia"/>
          <w:b/>
          <w:color w:val="000000"/>
          <w:sz w:val="21"/>
        </w:rPr>
        <w:t xml:space="preserve">Discriminazione e algorithmic management opaco</w:t>
      </w:r>
      <w:r>
        <w:rPr>
          <w:rFonts w:eastAsia="georgia" w:cs="georgia" w:ascii="georgia" w:hAnsi="georgia"/>
          <w:color w:val="000000"/>
          <w:sz w:val="21"/>
        </w:rPr>
        <w:br w:type="textWrapping"/>
      </w:r>
      <w:r>
        <w:rPr>
          <w:rFonts w:eastAsia="georgia" w:cs="georgia" w:ascii="georgia" w:hAnsi="georgia"/>
          <w:color w:val="000000"/>
          <w:sz w:val="21"/>
        </w:rPr>
        <w:t xml:space="preserve">Se il sistema genera sistematicamente esiti sfavorevoli per certe categorie (es. lavoratori più anziani, donne, part-time), l’effetto può integrare una discriminazione indiretta, anche se nessuno “ha voluto discriminare”.</w:t>
      </w:r>
      <w:bookmarkStart w:id="78" w:name="fnref70"/>
      <w:bookmarkEnd w:id="78"/>
      <w:hyperlink w:anchor="fn70">
        <w:r>
          <w:rPr>
            <w:rFonts w:eastAsia="helvetica neue" w:cs="helvetica neue" w:ascii="helvetica neue" w:hAnsi="helvetica neue"/>
            <w:color w:val="#000"/>
            <w:sz w:val="21"/>
            <w:u w:val="single"/>
            <w:vertAlign w:val="superscript"/>
          </w:rPr>
          <w:t xml:space="preserve">[70]</w:t>
        </w:r>
      </w:hyperlink>
      <w:bookmarkStart w:id="79" w:name="fnref71"/>
      <w:bookmarkEnd w:id="79"/>
      <w:hyperlink w:anchor="fn71">
        <w:r>
          <w:rPr>
            <w:rFonts w:eastAsia="helvetica neue" w:cs="helvetica neue" w:ascii="helvetica neue" w:hAnsi="helvetica neue"/>
            <w:color w:val="#000"/>
            <w:sz w:val="21"/>
            <w:u w:val="single"/>
            <w:vertAlign w:val="superscript"/>
          </w:rPr>
          <w:t xml:space="preserve">[71]</w:t>
        </w:r>
      </w:hyperlink>
      <w:r>
        <w:rPr>
          <w:rFonts w:eastAsia="georgia" w:cs="georgia" w:ascii="georgia" w:hAnsi="georgia"/>
          <w:color w:val="000000"/>
          <w:sz w:val="21"/>
        </w:rPr>
        <w:br w:type="textWrapping"/>
      </w:r>
      <w:r>
        <w:rPr>
          <w:rFonts w:eastAsia="georgia" w:cs="georgia" w:ascii="georgia" w:hAnsi="georgia"/>
          <w:color w:val="000000"/>
          <w:sz w:val="21"/>
        </w:rPr>
        <w:t xml:space="preserve">L’AI Act rafforza questo quadro imponendo requisiti di gestione del rischio, qualità dei dati e human oversight per i sistemi ad alto rischio utilizzati in ambito lavorativo.</w:t>
      </w:r>
    </w:p>
    <w:p>
      <w:pPr>
        <w:numPr>
          <w:ilvl w:val="0"/>
          <w:numId w:val="5"/>
        </w:numPr>
        <w:spacing w:line="360" w:after="210" w:lineRule="auto"/>
      </w:pPr>
      <w:r>
        <w:rPr>
          <w:rFonts w:eastAsia="georgia" w:cs="georgia" w:ascii="georgia" w:hAnsi="georgia"/>
          <w:b/>
          <w:color w:val="000000"/>
          <w:sz w:val="21"/>
        </w:rPr>
        <w:t xml:space="preserve">Demansionamento e licenziamento illegittimi “mediati” dall’AI</w:t>
      </w:r>
      <w:r>
        <w:rPr>
          <w:rFonts w:eastAsia="georgia" w:cs="georgia" w:ascii="georgia" w:hAnsi="georgia"/>
          <w:color w:val="000000"/>
          <w:sz w:val="21"/>
        </w:rPr>
        <w:br w:type="textWrapping"/>
      </w:r>
      <w:r>
        <w:rPr>
          <w:rFonts w:eastAsia="georgia" w:cs="georgia" w:ascii="georgia" w:hAnsi="georgia"/>
          <w:color w:val="000000"/>
          <w:sz w:val="21"/>
        </w:rPr>
        <w:t xml:space="preserve">Il datore non può limitarsi a dire “lo dice l’algoritmo”.</w:t>
      </w:r>
      <w:r>
        <w:rPr>
          <w:rFonts w:eastAsia="georgia" w:cs="georgia" w:ascii="georgia" w:hAnsi="georgia"/>
          <w:color w:val="000000"/>
          <w:sz w:val="21"/>
        </w:rPr>
        <w:br w:type="textWrapping"/>
      </w:r>
      <w:r>
        <w:rPr>
          <w:rFonts w:eastAsia="georgia" w:cs="georgia" w:ascii="georgia" w:hAnsi="georgia"/>
          <w:color w:val="000000"/>
          <w:sz w:val="21"/>
        </w:rPr>
        <w:t xml:space="preserve">Deve dimostrare di aver esercitato un controllo umano effettivo, di aver verificato l’affidabilità del sistema e di aver esplorato alternative (formazione, ricollocazione) prima di arrivare al recesso.</w:t>
      </w:r>
      <w:bookmarkStart w:id="80" w:name="fnref72"/>
      <w:bookmarkEnd w:id="80"/>
      <w:hyperlink w:anchor="fn72">
        <w:r>
          <w:rPr>
            <w:rFonts w:eastAsia="helvetica neue" w:cs="helvetica neue" w:ascii="helvetica neue" w:hAnsi="helvetica neue"/>
            <w:color w:val="#000"/>
            <w:sz w:val="21"/>
            <w:u w:val="single"/>
            <w:vertAlign w:val="superscript"/>
          </w:rPr>
          <w:t xml:space="preserve">[72]</w:t>
        </w:r>
      </w:hyperlink>
      <w:bookmarkStart w:id="81" w:name="fnref73"/>
      <w:bookmarkEnd w:id="81"/>
      <w:hyperlink w:anchor="fn73">
        <w:r>
          <w:rPr>
            <w:rFonts w:eastAsia="helvetica neue" w:cs="helvetica neue" w:ascii="helvetica neue" w:hAnsi="helvetica neue"/>
            <w:color w:val="#000"/>
            <w:sz w:val="21"/>
            <w:u w:val="single"/>
            <w:vertAlign w:val="superscript"/>
          </w:rPr>
          <w:t xml:space="preserve">[73]</w:t>
        </w:r>
      </w:hyperlink>
    </w:p>
    <w:p>
      <w:pPr>
        <w:spacing w:line="360" w:after="210" w:lineRule="auto"/>
      </w:pPr>
      <w:r>
        <w:rPr>
          <w:rFonts w:eastAsia="georgia" w:cs="georgia" w:ascii="georgia" w:hAnsi="georgia"/>
          <w:color w:val="000000"/>
        </w:rPr>
        <w:t xml:space="preserve">In una vertenza sindacale, questi elementi diventano leve di negoziazione:</w:t>
      </w:r>
    </w:p>
    <w:p>
      <w:pPr>
        <w:numPr>
          <w:ilvl w:val="0"/>
          <w:numId w:val="6"/>
        </w:numPr>
        <w:spacing w:line="360" w:before="105" w:after="105" w:lineRule="auto"/>
      </w:pPr>
      <w:r>
        <w:rPr>
          <w:rFonts w:eastAsia="georgia" w:cs="georgia" w:ascii="georgia" w:hAnsi="georgia"/>
          <w:color w:val="000000"/>
          <w:sz w:val="21"/>
        </w:rPr>
        <w:t xml:space="preserve">richiesta di sospensione o revisione del sistema di valutazione automatizzata</w:t>
      </w:r>
    </w:p>
    <w:p>
      <w:pPr>
        <w:numPr>
          <w:ilvl w:val="0"/>
          <w:numId w:val="6"/>
        </w:numPr>
        <w:spacing w:line="360" w:before="105" w:after="105" w:lineRule="auto"/>
      </w:pPr>
      <w:r>
        <w:rPr>
          <w:rFonts w:eastAsia="georgia" w:cs="georgia" w:ascii="georgia" w:hAnsi="georgia"/>
          <w:color w:val="000000"/>
          <w:sz w:val="21"/>
        </w:rPr>
        <w:t xml:space="preserve">rivendicazione di criteri trasparenti e verificabili per demansionamenti e riorganizzazioni</w:t>
      </w:r>
    </w:p>
    <w:p>
      <w:pPr>
        <w:numPr>
          <w:ilvl w:val="0"/>
          <w:numId w:val="6"/>
        </w:numPr>
        <w:spacing w:line="360" w:before="105" w:after="105" w:lineRule="auto"/>
      </w:pPr>
      <w:r>
        <w:rPr>
          <w:rFonts w:eastAsia="georgia" w:cs="georgia" w:ascii="georgia" w:hAnsi="georgia"/>
          <w:color w:val="000000"/>
          <w:sz w:val="21"/>
        </w:rPr>
        <w:t xml:space="preserve">proposta di accordi integrativi che regolino in modo dettagliato l’uso di AI nei processi HR.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2" w:name="dalla_reazione_al_progetto_identi_35fbbb"/>
      <w:r>
        <w:rPr>
          <w:rFonts w:eastAsia="georgia" w:cs="georgia" w:ascii="georgia" w:hAnsi="georgia"/>
          <w:b/>
          <w:color w:val="000000"/>
          <w:sz w:val="24"/>
        </w:rPr>
        <w:t xml:space="preserve">Dalla reazione al progetto: identificare i bias prima che diventino contenzioso</w:t>
      </w:r>
      <w:bookmarkEnd w:id="82"/>
    </w:p>
    <w:p>
      <w:pPr>
        <w:spacing w:line="360" w:after="210" w:lineRule="auto"/>
      </w:pPr>
      <w:r>
        <w:rPr>
          <w:rFonts w:eastAsia="georgia" w:cs="georgia" w:ascii="georgia" w:hAnsi="georgia"/>
          <w:color w:val="000000"/>
        </w:rPr>
        <w:t xml:space="preserve">Se guardiamo questo caso “ipotetico” con gli occhiali dell’imprenditore, il vero tema non è “come difendersi” a posteriori, ma come evitare di arrivare a un giudizio.</w:t>
      </w:r>
    </w:p>
    <w:p>
      <w:pPr>
        <w:spacing w:line="360" w:after="210" w:lineRule="auto"/>
      </w:pPr>
      <w:r>
        <w:rPr>
          <w:rFonts w:eastAsia="georgia" w:cs="georgia" w:ascii="georgia" w:hAnsi="georgia"/>
          <w:color w:val="000000"/>
        </w:rPr>
        <w:t xml:space="preserve">Qui la ricerca sui bias dell’intelligenza artificiale offre una bussola interessante: i bias non nascono solo nell’algoritmo, ma in ogni decisione che prendiamo lungo il ciclo di vita del sistema.</w:t>
      </w:r>
      <w:bookmarkStart w:id="83" w:name="fnref74"/>
      <w:bookmarkEnd w:id="83"/>
      <w:hyperlink w:anchor="fn74">
        <w:r>
          <w:rPr>
            <w:rFonts w:eastAsia="helvetica neue" w:cs="helvetica neue" w:ascii="helvetica neue" w:hAnsi="helvetica neue"/>
            <w:color w:val="#000"/>
            <w:u w:val="single"/>
            <w:vertAlign w:val="superscript"/>
          </w:rPr>
          <w:t xml:space="preserve">[74]</w:t>
        </w:r>
      </w:hyperlink>
      <w:r>
        <w:rPr>
          <w:rFonts w:eastAsia="georgia" w:cs="georgia" w:ascii="georgia" w:hAnsi="georgia"/>
          <w:color w:val="000000"/>
        </w:rPr>
        <w:br w:type="textWrapping"/>
      </w:r>
      <w:r>
        <w:rPr>
          <w:rFonts w:eastAsia="georgia" w:cs="georgia" w:ascii="georgia" w:hAnsi="georgia"/>
          <w:color w:val="000000"/>
        </w:rPr>
        <w:t xml:space="preserve">Questo significa che una PMI può lavorare su quattro piani, anche con risorse limitate:</w:t>
      </w:r>
    </w:p>
    <w:p>
      <w:pPr>
        <w:numPr>
          <w:ilvl w:val="0"/>
          <w:numId w:val="7"/>
        </w:numPr>
        <w:spacing w:line="360" w:after="210" w:lineRule="auto"/>
      </w:pPr>
      <w:r>
        <w:rPr>
          <w:rFonts w:eastAsia="georgia" w:cs="georgia" w:ascii="georgia" w:hAnsi="georgia"/>
          <w:b/>
          <w:color w:val="000000"/>
          <w:sz w:val="21"/>
        </w:rPr>
        <w:t xml:space="preserve">Dati</w:t>
      </w:r>
    </w:p>
    <w:p>
      <w:pPr>
        <w:numPr>
          <w:ilvl w:val="1"/>
          <w:numId w:val="7"/>
        </w:numPr>
        <w:spacing w:line="360" w:before="105" w:after="105" w:lineRule="auto"/>
      </w:pPr>
      <w:r>
        <w:rPr>
          <w:rFonts w:eastAsia="georgia" w:cs="georgia" w:ascii="georgia" w:hAnsi="georgia"/>
          <w:color w:val="000000"/>
          <w:sz w:val="21"/>
        </w:rPr>
        <w:t xml:space="preserve">Chiedersi: i dati storici che uso per addestrare il modello riflettono già pratiche organizzative squilibrate (es. promozioni concentrate su una sola fascia d’età)?</w:t>
      </w:r>
    </w:p>
    <w:p>
      <w:pPr>
        <w:numPr>
          <w:ilvl w:val="1"/>
          <w:numId w:val="7"/>
        </w:numPr>
        <w:spacing w:line="360" w:before="105" w:after="105" w:lineRule="auto"/>
      </w:pPr>
      <w:r>
        <w:rPr>
          <w:rFonts w:eastAsia="georgia" w:cs="georgia" w:ascii="georgia" w:hAnsi="georgia"/>
          <w:color w:val="000000"/>
          <w:sz w:val="21"/>
        </w:rPr>
        <w:t xml:space="preserve">Pulire, riequilibrare e documentare questi dati, invece di riversarli in blocco sul modello.</w:t>
      </w:r>
      <w:bookmarkStart w:id="84" w:name="fnref74_1"/>
      <w:bookmarkEnd w:id="84"/>
      <w:hyperlink w:anchor="fn74">
        <w:r>
          <w:rPr>
            <w:rFonts w:eastAsia="helvetica neue" w:cs="helvetica neue" w:ascii="helvetica neue" w:hAnsi="helvetica neue"/>
            <w:color w:val="#000"/>
            <w:sz w:val="21"/>
            <w:u w:val="single"/>
            <w:vertAlign w:val="superscript"/>
          </w:rPr>
          <w:t xml:space="preserve">[74]</w:t>
        </w:r>
      </w:hyperlink>
    </w:p>
    <w:p>
      <w:pPr>
        <w:numPr>
          <w:ilvl w:val="0"/>
          <w:numId w:val="7"/>
        </w:numPr>
        <w:spacing w:line="360" w:after="210" w:lineRule="auto"/>
      </w:pPr>
      <w:r>
        <w:rPr>
          <w:rFonts w:eastAsia="georgia" w:cs="georgia" w:ascii="georgia" w:hAnsi="georgia"/>
          <w:b/>
          <w:color w:val="000000"/>
          <w:sz w:val="21"/>
        </w:rPr>
        <w:t xml:space="preserve">Algoritmo e metriche</w:t>
      </w:r>
    </w:p>
    <w:p>
      <w:pPr>
        <w:numPr>
          <w:ilvl w:val="1"/>
          <w:numId w:val="7"/>
        </w:numPr>
        <w:spacing w:line="360" w:before="105" w:after="105" w:lineRule="auto"/>
      </w:pPr>
      <w:r>
        <w:rPr>
          <w:rFonts w:eastAsia="georgia" w:cs="georgia" w:ascii="georgia" w:hAnsi="georgia"/>
          <w:color w:val="000000"/>
          <w:sz w:val="21"/>
        </w:rPr>
        <w:t xml:space="preserve">Non ottimizzare solo per efficienza o produttività, ma includere metriche di equità (es. differenza di tasso di “insufficienza” tra gruppi diversi).</w:t>
      </w:r>
    </w:p>
    <w:p>
      <w:pPr>
        <w:numPr>
          <w:ilvl w:val="1"/>
          <w:numId w:val="7"/>
        </w:numPr>
        <w:spacing w:line="360" w:before="105" w:after="105" w:lineRule="auto"/>
      </w:pPr>
      <w:r>
        <w:rPr>
          <w:rFonts w:eastAsia="georgia" w:cs="georgia" w:ascii="georgia" w:hAnsi="georgia"/>
          <w:color w:val="000000"/>
          <w:sz w:val="21"/>
        </w:rPr>
        <w:t xml:space="preserve">Accettare che un modello più “giusto” può essere leggermente meno performante su certe metriche di breve periodo.</w:t>
      </w:r>
      <w:bookmarkStart w:id="85" w:name="fnref74_2"/>
      <w:bookmarkEnd w:id="85"/>
      <w:hyperlink w:anchor="fn74">
        <w:r>
          <w:rPr>
            <w:rFonts w:eastAsia="helvetica neue" w:cs="helvetica neue" w:ascii="helvetica neue" w:hAnsi="helvetica neue"/>
            <w:color w:val="#000"/>
            <w:sz w:val="21"/>
            <w:u w:val="single"/>
            <w:vertAlign w:val="superscript"/>
          </w:rPr>
          <w:t xml:space="preserve">[74]</w:t>
        </w:r>
      </w:hyperlink>
    </w:p>
    <w:p>
      <w:pPr>
        <w:numPr>
          <w:ilvl w:val="0"/>
          <w:numId w:val="7"/>
        </w:numPr>
        <w:spacing w:line="360" w:after="210" w:lineRule="auto"/>
      </w:pPr>
      <w:r>
        <w:rPr>
          <w:rFonts w:eastAsia="georgia" w:cs="georgia" w:ascii="georgia" w:hAnsi="georgia"/>
          <w:b/>
          <w:color w:val="000000"/>
          <w:sz w:val="21"/>
        </w:rPr>
        <w:t xml:space="preserve">Team e governance</w:t>
      </w:r>
    </w:p>
    <w:p>
      <w:pPr>
        <w:numPr>
          <w:ilvl w:val="1"/>
          <w:numId w:val="7"/>
        </w:numPr>
        <w:spacing w:line="360" w:before="105" w:after="105" w:lineRule="auto"/>
      </w:pPr>
      <w:r>
        <w:rPr>
          <w:rFonts w:eastAsia="georgia" w:cs="georgia" w:ascii="georgia" w:hAnsi="georgia"/>
          <w:color w:val="000000"/>
          <w:sz w:val="21"/>
        </w:rPr>
        <w:t xml:space="preserve">Mettere allo stesso tavolo chi sviluppa, chi gestisce il personale, chi conosce il contesto normativo.</w:t>
      </w:r>
    </w:p>
    <w:p>
      <w:pPr>
        <w:numPr>
          <w:ilvl w:val="1"/>
          <w:numId w:val="7"/>
        </w:numPr>
        <w:spacing w:line="360" w:before="105" w:after="105" w:lineRule="auto"/>
      </w:pPr>
      <w:r>
        <w:rPr>
          <w:rFonts w:eastAsia="georgia" w:cs="georgia" w:ascii="georgia" w:hAnsi="georgia"/>
          <w:color w:val="000000"/>
          <w:sz w:val="21"/>
        </w:rPr>
        <w:t xml:space="preserve">Nominare un AI owner o un piccolo comitato di governance anche nelle PMI, con il mandato esplicito di poter dire “no” a un deploy non sicuro.</w:t>
      </w:r>
      <w:bookmarkStart w:id="86" w:name="fnref74_3"/>
      <w:bookmarkEnd w:id="86"/>
      <w:hyperlink w:anchor="fn74">
        <w:r>
          <w:rPr>
            <w:rFonts w:eastAsia="helvetica neue" w:cs="helvetica neue" w:ascii="helvetica neue" w:hAnsi="helvetica neue"/>
            <w:color w:val="#000"/>
            <w:sz w:val="21"/>
            <w:u w:val="single"/>
            <w:vertAlign w:val="superscript"/>
          </w:rPr>
          <w:t xml:space="preserve">[74]</w:t>
        </w:r>
      </w:hyperlink>
    </w:p>
    <w:p>
      <w:pPr>
        <w:numPr>
          <w:ilvl w:val="0"/>
          <w:numId w:val="7"/>
        </w:numPr>
        <w:spacing w:line="360" w:after="210" w:lineRule="auto"/>
      </w:pPr>
      <w:r>
        <w:rPr>
          <w:rFonts w:eastAsia="georgia" w:cs="georgia" w:ascii="georgia" w:hAnsi="georgia"/>
          <w:b/>
          <w:color w:val="000000"/>
          <w:sz w:val="21"/>
        </w:rPr>
        <w:t xml:space="preserve">Post-deploy e canali di ascolto</w:t>
      </w:r>
    </w:p>
    <w:p>
      <w:pPr>
        <w:numPr>
          <w:ilvl w:val="1"/>
          <w:numId w:val="7"/>
        </w:numPr>
        <w:spacing w:line="360" w:before="105" w:after="105" w:lineRule="auto"/>
      </w:pPr>
      <w:r>
        <w:rPr>
          <w:rFonts w:eastAsia="georgia" w:cs="georgia" w:ascii="georgia" w:hAnsi="georgia"/>
          <w:color w:val="000000"/>
          <w:sz w:val="21"/>
        </w:rPr>
        <w:t xml:space="preserve">Creare un canale semplice con cui le persone possono segnalare errori, distorsioni, impatti inattesi del sistema.</w:t>
      </w:r>
    </w:p>
    <w:p>
      <w:pPr>
        <w:numPr>
          <w:ilvl w:val="1"/>
          <w:numId w:val="7"/>
        </w:numPr>
        <w:spacing w:line="360" w:before="105" w:after="105" w:lineRule="auto"/>
      </w:pPr>
      <w:r>
        <w:rPr>
          <w:rFonts w:eastAsia="georgia" w:cs="georgia" w:ascii="georgia" w:hAnsi="georgia"/>
          <w:color w:val="000000"/>
          <w:sz w:val="21"/>
        </w:rPr>
        <w:t xml:space="preserve">Prevedere revisioni periodiche del modello, non solo aggiornamenti tecnici ma anche verifiche sui suoi effetti sociali.</w:t>
      </w:r>
      <w:bookmarkStart w:id="87" w:name="fnref74_4"/>
      <w:bookmarkEnd w:id="87"/>
      <w:hyperlink w:anchor="fn74">
        <w:r>
          <w:rPr>
            <w:rFonts w:eastAsia="helvetica neue" w:cs="helvetica neue" w:ascii="helvetica neue" w:hAnsi="helvetica neue"/>
            <w:color w:val="#000"/>
            <w:sz w:val="21"/>
            <w:u w:val="single"/>
            <w:vertAlign w:val="superscript"/>
          </w:rPr>
          <w:t xml:space="preserve">[74]</w:t>
        </w:r>
      </w:hyperlink>
    </w:p>
    <w:p>
      <w:pPr>
        <w:spacing w:line="360" w:after="210" w:lineRule="auto"/>
      </w:pPr>
      <w:r>
        <w:rPr>
          <w:rFonts w:eastAsia="georgia" w:cs="georgia" w:ascii="georgia" w:hAnsi="georgia"/>
          <w:color w:val="000000"/>
        </w:rPr>
        <w:t xml:space="preserve">Questo non significa trasformare ogni PMI in un laboratorio di etica applicata.</w:t>
      </w:r>
      <w:r>
        <w:rPr>
          <w:rFonts w:eastAsia="georgia" w:cs="georgia" w:ascii="georgia" w:hAnsi="georgia"/>
          <w:color w:val="000000"/>
        </w:rPr>
        <w:br w:type="textWrapping"/>
      </w:r>
      <w:r>
        <w:rPr>
          <w:rFonts w:eastAsia="georgia" w:cs="georgia" w:ascii="georgia" w:hAnsi="georgia"/>
          <w:color w:val="000000"/>
        </w:rPr>
        <w:t xml:space="preserve">Significa portare nell’AI la stessa cura che oggi mettiamo nella sicurezza sul lavoro o nella qualità del prodotto: procedure, ruoli chiari, documentazione essenziale ma concreta.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dal_caso_cinese_alla_contrattazio_cc7333"/>
      <w:r>
        <w:rPr>
          <w:rFonts w:eastAsia="georgia" w:cs="georgia" w:ascii="georgia" w:hAnsi="georgia"/>
          <w:b/>
          <w:color w:val="000000"/>
          <w:sz w:val="24"/>
        </w:rPr>
        <w:t xml:space="preserve">Dal caso cinese alla contrattazione italiana: un’agenda condivisa</w:t>
      </w:r>
      <w:bookmarkEnd w:id="88"/>
    </w:p>
    <w:p>
      <w:pPr>
        <w:spacing w:line="360" w:after="210" w:lineRule="auto"/>
      </w:pPr>
      <w:r>
        <w:rPr>
          <w:rFonts w:eastAsia="georgia" w:cs="georgia" w:ascii="georgia" w:hAnsi="georgia"/>
          <w:color w:val="000000"/>
        </w:rPr>
        <w:t xml:space="preserve">La sentenza di Hangzhou ci ricorda che la tecnologia non è un alibi neutrale: se l’AI entra nei processi decisionali, qualcuno ne risponde.</w:t>
      </w:r>
      <w:bookmarkStart w:id="89" w:name="fnref66_1"/>
      <w:bookmarkEnd w:id="89"/>
      <w:hyperlink w:anchor="fn66">
        <w:r>
          <w:rPr>
            <w:rFonts w:eastAsia="helvetica neue" w:cs="helvetica neue" w:ascii="helvetica neue" w:hAnsi="helvetica neue"/>
            <w:color w:val="#000"/>
            <w:u w:val="single"/>
            <w:vertAlign w:val="superscript"/>
          </w:rPr>
          <w:t xml:space="preserve">[66]</w:t>
        </w:r>
      </w:hyperlink>
      <w:bookmarkStart w:id="90" w:name="fnref65_1"/>
      <w:bookmarkEnd w:id="90"/>
      <w:hyperlink w:anchor="fn65">
        <w:r>
          <w:rPr>
            <w:rFonts w:eastAsia="helvetica neue" w:cs="helvetica neue" w:ascii="helvetica neue" w:hAnsi="helvetica neue"/>
            <w:color w:val="#000"/>
            <w:u w:val="single"/>
            <w:vertAlign w:val="superscript"/>
          </w:rPr>
          <w:t xml:space="preserve">[65]</w:t>
        </w:r>
      </w:hyperlink>
      <w:r>
        <w:rPr>
          <w:rFonts w:eastAsia="georgia" w:cs="georgia" w:ascii="georgia" w:hAnsi="georgia"/>
          <w:color w:val="000000"/>
        </w:rPr>
        <w:br w:type="textWrapping"/>
      </w:r>
      <w:r>
        <w:rPr>
          <w:rFonts w:eastAsia="georgia" w:cs="georgia" w:ascii="georgia" w:hAnsi="georgia"/>
          <w:color w:val="000000"/>
        </w:rPr>
        <w:t xml:space="preserve">In Italia, questa responsabilità ha tre protagonisti:</w:t>
      </w:r>
    </w:p>
    <w:p>
      <w:pPr>
        <w:numPr>
          <w:ilvl w:val="0"/>
          <w:numId w:val="8"/>
        </w:numPr>
        <w:spacing w:line="360" w:before="105" w:after="105" w:lineRule="auto"/>
      </w:pPr>
      <w:r>
        <w:rPr>
          <w:rFonts w:eastAsia="georgia" w:cs="georgia" w:ascii="georgia" w:hAnsi="georgia"/>
          <w:color w:val="000000"/>
          <w:sz w:val="21"/>
        </w:rPr>
        <w:t xml:space="preserve">gli imprenditori, chiamati a governare l’AI come parte della strategia, non come “black box” delegata ai fornitori</w:t>
      </w:r>
    </w:p>
    <w:p>
      <w:pPr>
        <w:numPr>
          <w:ilvl w:val="0"/>
          <w:numId w:val="8"/>
        </w:numPr>
        <w:spacing w:line="360" w:before="105" w:after="105" w:lineRule="auto"/>
      </w:pPr>
      <w:r>
        <w:rPr>
          <w:rFonts w:eastAsia="georgia" w:cs="georgia" w:ascii="georgia" w:hAnsi="georgia"/>
          <w:color w:val="000000"/>
          <w:sz w:val="21"/>
        </w:rPr>
        <w:t xml:space="preserve">i giuristi d’impresa e i consulenti, che devono tradurre AI Act, GDPR e diritto del lavoro in scelte organizzative concrete</w:t>
      </w:r>
    </w:p>
    <w:p>
      <w:pPr>
        <w:numPr>
          <w:ilvl w:val="0"/>
          <w:numId w:val="8"/>
        </w:numPr>
        <w:spacing w:line="360" w:before="105" w:after="105" w:lineRule="auto"/>
      </w:pPr>
      <w:r>
        <w:rPr>
          <w:rFonts w:eastAsia="georgia" w:cs="georgia" w:ascii="georgia" w:hAnsi="georgia"/>
          <w:color w:val="000000"/>
          <w:sz w:val="21"/>
        </w:rPr>
        <w:t xml:space="preserve">le parti sociali, che hanno l’opportunità di spostare il confronto dall’ansia da sostituzione alla costruzione condivisa di criteri equi di utilizzo.</w:t>
      </w:r>
    </w:p>
    <w:p>
      <w:pPr>
        <w:spacing w:line="360" w:after="210" w:lineRule="auto"/>
      </w:pPr>
      <w:r>
        <w:rPr>
          <w:rFonts w:eastAsia="georgia" w:cs="georgia" w:ascii="georgia" w:hAnsi="georgia"/>
          <w:color w:val="000000"/>
        </w:rPr>
        <w:t xml:space="preserve">Personalmente, penso che il vero vantaggio competitivo non sarà “avere più AI degli altri”, ma saperla integrare in modo responsabile, tracciabile e legittimo, riducendo il rischio di contenziosi e aumentando la fiducia interna.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Se ti interessa, nel prossimo post posso entrare nel merito di un </w:t>
      </w:r>
      <w:r>
        <w:rPr>
          <w:rFonts w:eastAsia="georgia" w:cs="georgia" w:ascii="georgia" w:hAnsi="georgia"/>
          <w:b/>
          <w:color w:val="000000"/>
        </w:rPr>
        <w:t xml:space="preserve">canvas operativo</w:t>
      </w:r>
      <w:r>
        <w:rPr>
          <w:rFonts w:eastAsia="georgia" w:cs="georgia" w:ascii="georgia" w:hAnsi="georgia"/>
          <w:color w:val="000000"/>
        </w:rPr>
        <w:t xml:space="preserve"> per le PMI italiane: 8 domande chiave da porsi prima di usare l’AI per valutare o riorganizzare le persone, così da non scoprire i bias quando sono già diventati una causa di lavoro.</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1" w:name="ma_secondo_l_ai_act_e_la_la_legge_c6928a"/>
      <w:r>
        <w:rPr>
          <w:rFonts w:eastAsia="georgia" w:cs="georgia" w:ascii="georgia" w:hAnsi="georgia"/>
          <w:b/>
          <w:color w:val="000000"/>
          <w:sz w:val="39"/>
        </w:rPr>
        <w:t xml:space="preserve">ma secondo l'ai act e la la legge 132/2025, che si innesta sul GDPR e sull’AI Act , una piattaforma di AI per:</w:t>
      </w:r>
      <w:bookmarkEnd w:id="91"/>
    </w:p>
    <w:p>
      <w:pPr>
        <w:numPr>
          <w:ilvl w:val="0"/>
          <w:numId w:val="9"/>
        </w:numPr>
        <w:spacing w:line="360" w:before="105" w:after="105" w:lineRule="auto"/>
      </w:pPr>
      <w:r>
        <w:rPr>
          <w:rFonts w:eastAsia="georgia" w:cs="georgia" w:ascii="georgia" w:hAnsi="georgia"/>
          <w:color w:val="000000"/>
          <w:sz w:val="21"/>
        </w:rPr>
        <w:t xml:space="preserve">ottimizzare la schedulazione delle commesse</w:t>
      </w:r>
    </w:p>
    <w:p>
      <w:pPr>
        <w:numPr>
          <w:ilvl w:val="0"/>
          <w:numId w:val="9"/>
        </w:numPr>
        <w:spacing w:line="360" w:before="105" w:after="105" w:lineRule="auto"/>
      </w:pPr>
      <w:r>
        <w:rPr>
          <w:rFonts w:eastAsia="georgia" w:cs="georgia" w:ascii="georgia" w:hAnsi="georgia"/>
          <w:color w:val="000000"/>
          <w:sz w:val="21"/>
        </w:rPr>
        <w:t xml:space="preserve">valutare l'equità dei carichi operativi, l'efficienza dei processi e la produttività dei singoli addetti</w:t>
      </w:r>
    </w:p>
    <w:p>
      <w:pPr>
        <w:numPr>
          <w:ilvl w:val="0"/>
          <w:numId w:val="9"/>
        </w:numPr>
        <w:spacing w:line="360" w:before="105" w:after="105" w:lineRule="auto"/>
      </w:pPr>
      <w:r>
        <w:rPr>
          <w:rFonts w:eastAsia="georgia" w:cs="georgia" w:ascii="georgia" w:hAnsi="georgia"/>
          <w:color w:val="000000"/>
          <w:sz w:val="21"/>
        </w:rPr>
        <w:t xml:space="preserve">suggerire ai capi reparto chi spostare, promuovere, demansionare</w:t>
      </w:r>
      <w:r>
        <w:rPr>
          <w:rFonts w:eastAsia="georgia" w:cs="georgia" w:ascii="georgia" w:hAnsi="georgia"/>
          <w:color w:val="000000"/>
          <w:sz w:val="21"/>
        </w:rPr>
        <w:br w:type="textWrapping"/>
      </w:r>
      <w:r>
        <w:rPr>
          <w:rFonts w:eastAsia="georgia" w:cs="georgia" w:ascii="georgia" w:hAnsi="georgia"/>
          <w:color w:val="000000"/>
          <w:sz w:val="21"/>
        </w:rPr>
        <w:t xml:space="preserve">è ammessa? quali i limiti della compliance ?</w:t>
      </w:r>
    </w:p>
    <w:p>
      <w:pPr>
        <w:spacing w:line="360" w:after="210" w:lineRule="auto"/>
      </w:pPr>
      <w:r>
        <w:rPr>
          <w:rFonts w:eastAsia="georgia" w:cs="georgia" w:ascii="georgia" w:hAnsi="georgia"/>
          <w:color w:val="000000"/>
        </w:rPr>
        <w:t xml:space="preserve">Sì, </w:t>
      </w:r>
      <w:r>
        <w:rPr>
          <w:rFonts w:eastAsia="georgia" w:cs="georgia" w:ascii="georgia" w:hAnsi="georgia"/>
          <w:b/>
          <w:color w:val="000000"/>
        </w:rPr>
        <w:t xml:space="preserve">in linea di principio è ammessa</w:t>
      </w:r>
      <w:r>
        <w:rPr>
          <w:rFonts w:eastAsia="georgia" w:cs="georgia" w:ascii="georgia" w:hAnsi="georgia"/>
          <w:color w:val="000000"/>
        </w:rPr>
        <w:t xml:space="preserve">, ma solo se la piattaforma resta dentro un perimetro molto stretto di compliance: per HR, assegnazione dei compiti, valutazione e decisioni su promozione/demansionamento/licenziamento il sistema cade nell’area più sensibile dell’AI Act e, quando tratta dati personali dei lavoratori, anche nel GDPR e nella legge italiana 132/2025. In pratica, la piattaforma non può essere usata come “decision maker” opaco: deve essere governata, spiegabile e sottoposta a controllo umano effettivo.</w:t>
      </w:r>
      <w:bookmarkStart w:id="92" w:name="fnref75"/>
      <w:bookmarkEnd w:id="92"/>
      <w:hyperlink w:anchor="fn75">
        <w:r>
          <w:rPr>
            <w:rFonts w:eastAsia="helvetica neue" w:cs="helvetica neue" w:ascii="helvetica neue" w:hAnsi="helvetica neue"/>
            <w:color w:val="#000"/>
            <w:u w:val="single"/>
            <w:vertAlign w:val="superscript"/>
          </w:rPr>
          <w:t xml:space="preserve">[75]</w:t>
        </w:r>
      </w:hyperlink>
      <w:bookmarkStart w:id="93" w:name="fnref76"/>
      <w:bookmarkEnd w:id="93"/>
      <w:hyperlink w:anchor="fn76">
        <w:r>
          <w:rPr>
            <w:rFonts w:eastAsia="helvetica neue" w:cs="helvetica neue" w:ascii="helvetica neue" w:hAnsi="helvetica neue"/>
            <w:color w:val="#000"/>
            <w:u w:val="single"/>
            <w:vertAlign w:val="superscript"/>
          </w:rPr>
          <w:t xml:space="preserve">[76]</w:t>
        </w:r>
      </w:hyperlink>
      <w:bookmarkStart w:id="94" w:name="fnref77"/>
      <w:bookmarkEnd w:id="94"/>
      <w:hyperlink w:anchor="fn77">
        <w:r>
          <w:rPr>
            <w:rFonts w:eastAsia="helvetica neue" w:cs="helvetica neue" w:ascii="helvetica neue" w:hAnsi="helvetica neue"/>
            <w:color w:val="#000"/>
            <w:u w:val="single"/>
            <w:vertAlign w:val="superscript"/>
          </w:rPr>
          <w:t xml:space="preserve">[77]</w:t>
        </w:r>
      </w:hyperlink>
      <w:bookmarkStart w:id="95" w:name="fnref78"/>
      <w:bookmarkEnd w:id="95"/>
      <w:hyperlink w:anchor="fn78">
        <w:r>
          <w:rPr>
            <w:rFonts w:eastAsia="helvetica neue" w:cs="helvetica neue" w:ascii="helvetica neue" w:hAnsi="helvetica neue"/>
            <w:color w:val="#000"/>
            <w:u w:val="single"/>
            <w:vertAlign w:val="superscript"/>
          </w:rPr>
          <w:t xml:space="preserve">[78]</w:t>
        </w:r>
      </w:hyperlink>
      <w:bookmarkStart w:id="96" w:name="fnref79"/>
      <w:bookmarkEnd w:id="96"/>
      <w:hyperlink w:anchor="fn79">
        <w:r>
          <w:rPr>
            <w:rFonts w:eastAsia="helvetica neue" w:cs="helvetica neue" w:ascii="helvetica neue" w:hAnsi="helvetica neue"/>
            <w:color w:val="#000"/>
            <w:u w:val="single"/>
            <w:vertAlign w:val="superscript"/>
          </w:rPr>
          <w:t xml:space="preserve">[79]</w:t>
        </w:r>
      </w:hyperlink>
    </w:p>
    <w:p>
      <w:pPr>
        <w:spacing w:line="360" w:before="315" w:after="105" w:lineRule="auto"/>
        <w:ind w:left="-30"/>
        <w:jc w:val="left"/>
      </w:pPr>
      <w:bookmarkStart w:id="97" w:name="ambito_consentito"/>
      <w:r>
        <w:rPr>
          <w:rFonts w:eastAsia="georgia" w:cs="georgia" w:ascii="georgia" w:hAnsi="georgia"/>
          <w:b/>
          <w:color w:val="000000"/>
          <w:sz w:val="24"/>
        </w:rPr>
        <w:t xml:space="preserve">Ambito consentito</w:t>
      </w:r>
      <w:bookmarkEnd w:id="97"/>
    </w:p>
    <w:p>
      <w:pPr>
        <w:spacing w:line="360" w:after="210" w:lineRule="auto"/>
      </w:pPr>
      <w:r>
        <w:rPr>
          <w:rFonts w:eastAsia="georgia" w:cs="georgia" w:ascii="georgia" w:hAnsi="georgia"/>
          <w:color w:val="000000"/>
        </w:rPr>
        <w:t xml:space="preserve">L’uso per ottimizzare la schedulazione delle commesse è, in astratto, compatibile con il quadro normativo, perché l’AI può supportare l’organizzazione del lavoro e la gestione efficiente dei processi, purché non produca effetti discriminatori o decisioni unicamente automatizzate sui singoli. Anche l’analisi di carichi operativi, efficienza e produttività è ammissibile, ma diventa delicata quando i dati vengono usati per valutazioni individuali che incidono su carriera, mansioni o permanenza in azienda. Il punto non è “se usare AI”, ma “come” usarla e con quali garanzie.</w:t>
      </w:r>
      <w:bookmarkStart w:id="98" w:name="fnref80"/>
      <w:bookmarkEnd w:id="98"/>
      <w:hyperlink w:anchor="fn80">
        <w:r>
          <w:rPr>
            <w:rFonts w:eastAsia="helvetica neue" w:cs="helvetica neue" w:ascii="helvetica neue" w:hAnsi="helvetica neue"/>
            <w:color w:val="#000"/>
            <w:u w:val="single"/>
            <w:vertAlign w:val="superscript"/>
          </w:rPr>
          <w:t xml:space="preserve">[80]</w:t>
        </w:r>
      </w:hyperlink>
      <w:bookmarkStart w:id="99" w:name="fnref76_1"/>
      <w:bookmarkEnd w:id="99"/>
      <w:hyperlink w:anchor="fn76">
        <w:r>
          <w:rPr>
            <w:rFonts w:eastAsia="helvetica neue" w:cs="helvetica neue" w:ascii="helvetica neue" w:hAnsi="helvetica neue"/>
            <w:color w:val="#000"/>
            <w:u w:val="single"/>
            <w:vertAlign w:val="superscript"/>
          </w:rPr>
          <w:t xml:space="preserve">[76]</w:t>
        </w:r>
      </w:hyperlink>
      <w:bookmarkStart w:id="100" w:name="fnref77_1"/>
      <w:bookmarkEnd w:id="100"/>
      <w:hyperlink w:anchor="fn77">
        <w:r>
          <w:rPr>
            <w:rFonts w:eastAsia="helvetica neue" w:cs="helvetica neue" w:ascii="helvetica neue" w:hAnsi="helvetica neue"/>
            <w:color w:val="#000"/>
            <w:u w:val="single"/>
            <w:vertAlign w:val="superscript"/>
          </w:rPr>
          <w:t xml:space="preserve">[77]</w:t>
        </w:r>
      </w:hyperlink>
      <w:bookmarkStart w:id="101" w:name="fnref81"/>
      <w:bookmarkEnd w:id="101"/>
      <w:hyperlink w:anchor="fn81">
        <w:r>
          <w:rPr>
            <w:rFonts w:eastAsia="helvetica neue" w:cs="helvetica neue" w:ascii="helvetica neue" w:hAnsi="helvetica neue"/>
            <w:color w:val="#000"/>
            <w:u w:val="single"/>
            <w:vertAlign w:val="superscript"/>
          </w:rPr>
          <w:t xml:space="preserve">[81]</w:t>
        </w:r>
      </w:hyperlink>
      <w:bookmarkStart w:id="102" w:name="fnref82"/>
      <w:bookmarkEnd w:id="102"/>
      <w:hyperlink w:anchor="fn82">
        <w:r>
          <w:rPr>
            <w:rFonts w:eastAsia="helvetica neue" w:cs="helvetica neue" w:ascii="helvetica neue" w:hAnsi="helvetica neue"/>
            <w:color w:val="#000"/>
            <w:u w:val="single"/>
            <w:vertAlign w:val="superscript"/>
          </w:rPr>
          <w:t xml:space="preserve">[82]</w:t>
        </w:r>
      </w:hyperlink>
      <w:bookmarkStart w:id="103" w:name="fnref75_1"/>
      <w:bookmarkEnd w:id="103"/>
      <w:hyperlink w:anchor="fn75">
        <w:r>
          <w:rPr>
            <w:rFonts w:eastAsia="helvetica neue" w:cs="helvetica neue" w:ascii="helvetica neue" w:hAnsi="helvetica neue"/>
            <w:color w:val="#000"/>
            <w:u w:val="single"/>
            <w:vertAlign w:val="superscript"/>
          </w:rPr>
          <w:t xml:space="preserve">[75]</w:t>
        </w:r>
      </w:hyperlink>
    </w:p>
    <w:p>
      <w:pPr>
        <w:spacing w:line="360" w:before="315" w:after="105" w:lineRule="auto"/>
        <w:ind w:left="-30"/>
        <w:jc w:val="left"/>
      </w:pPr>
      <w:bookmarkStart w:id="104" w:name="rischio_alto"/>
      <w:r>
        <w:rPr>
          <w:rFonts w:eastAsia="georgia" w:cs="georgia" w:ascii="georgia" w:hAnsi="georgia"/>
          <w:b/>
          <w:color w:val="000000"/>
          <w:sz w:val="24"/>
        </w:rPr>
        <w:t xml:space="preserve">Rischio alto</w:t>
      </w:r>
      <w:bookmarkEnd w:id="104"/>
    </w:p>
    <w:p>
      <w:pPr>
        <w:spacing w:line="360" w:after="210" w:lineRule="auto"/>
      </w:pPr>
      <w:r>
        <w:rPr>
          <w:rFonts w:eastAsia="georgia" w:cs="georgia" w:ascii="georgia" w:hAnsi="georgia"/>
          <w:color w:val="000000"/>
        </w:rPr>
        <w:t xml:space="preserve">Se il sistema suggerisce chi spostare, promuovere o demansionare, siamo molto probabilmente dentro un caso di </w:t>
      </w:r>
      <w:r>
        <w:rPr>
          <w:rFonts w:eastAsia="georgia" w:cs="georgia" w:ascii="georgia" w:hAnsi="georgia"/>
          <w:b/>
          <w:color w:val="000000"/>
        </w:rPr>
        <w:t xml:space="preserve">sistema ad alto rischio</w:t>
      </w:r>
      <w:r>
        <w:rPr>
          <w:rFonts w:eastAsia="georgia" w:cs="georgia" w:ascii="georgia" w:hAnsi="georgia"/>
          <w:color w:val="000000"/>
        </w:rPr>
        <w:t xml:space="preserve"> per impiego e gestione del personale, con obblighi rafforzati di risk management, qualità dei dati, documentazione tecnica, logging, trasparenza e human oversight. La legge italiana 132/2025 spinge nella stessa direzione, imponendo responsabilità, trasparenza e supervisione umana, oltre a informativa verso lavoratori e rappresentanze sindacali. Quindi la piattaforma non è vietata in sé, ma è vietato usarla come scorciatoia per automatizzare scelte che incidono sui diritti fondamentali.</w:t>
      </w:r>
      <w:bookmarkStart w:id="105" w:name="fnref76_2"/>
      <w:bookmarkEnd w:id="105"/>
      <w:hyperlink w:anchor="fn76">
        <w:r>
          <w:rPr>
            <w:rFonts w:eastAsia="helvetica neue" w:cs="helvetica neue" w:ascii="helvetica neue" w:hAnsi="helvetica neue"/>
            <w:color w:val="#000"/>
            <w:u w:val="single"/>
            <w:vertAlign w:val="superscript"/>
          </w:rPr>
          <w:t xml:space="preserve">[76]</w:t>
        </w:r>
      </w:hyperlink>
      <w:bookmarkStart w:id="106" w:name="fnref81_1"/>
      <w:bookmarkEnd w:id="106"/>
      <w:hyperlink w:anchor="fn81">
        <w:r>
          <w:rPr>
            <w:rFonts w:eastAsia="helvetica neue" w:cs="helvetica neue" w:ascii="helvetica neue" w:hAnsi="helvetica neue"/>
            <w:color w:val="#000"/>
            <w:u w:val="single"/>
            <w:vertAlign w:val="superscript"/>
          </w:rPr>
          <w:t xml:space="preserve">[81]</w:t>
        </w:r>
      </w:hyperlink>
      <w:bookmarkStart w:id="107" w:name="fnref78_1"/>
      <w:bookmarkEnd w:id="107"/>
      <w:hyperlink w:anchor="fn78">
        <w:r>
          <w:rPr>
            <w:rFonts w:eastAsia="helvetica neue" w:cs="helvetica neue" w:ascii="helvetica neue" w:hAnsi="helvetica neue"/>
            <w:color w:val="#000"/>
            <w:u w:val="single"/>
            <w:vertAlign w:val="superscript"/>
          </w:rPr>
          <w:t xml:space="preserve">[78]</w:t>
        </w:r>
      </w:hyperlink>
      <w:bookmarkStart w:id="108" w:name="fnref79_1"/>
      <w:bookmarkEnd w:id="108"/>
      <w:hyperlink w:anchor="fn79">
        <w:r>
          <w:rPr>
            <w:rFonts w:eastAsia="helvetica neue" w:cs="helvetica neue" w:ascii="helvetica neue" w:hAnsi="helvetica neue"/>
            <w:color w:val="#000"/>
            <w:u w:val="single"/>
            <w:vertAlign w:val="superscript"/>
          </w:rPr>
          <w:t xml:space="preserve">[79]</w:t>
        </w:r>
      </w:hyperlink>
      <w:bookmarkStart w:id="109" w:name="fnref80_1"/>
      <w:bookmarkEnd w:id="109"/>
      <w:hyperlink w:anchor="fn80">
        <w:r>
          <w:rPr>
            <w:rFonts w:eastAsia="helvetica neue" w:cs="helvetica neue" w:ascii="helvetica neue" w:hAnsi="helvetica neue"/>
            <w:color w:val="#000"/>
            <w:u w:val="single"/>
            <w:vertAlign w:val="superscript"/>
          </w:rPr>
          <w:t xml:space="preserve">[80]</w:t>
        </w:r>
      </w:hyperlink>
      <w:bookmarkStart w:id="110" w:name="fnref75_2"/>
      <w:bookmarkEnd w:id="110"/>
      <w:hyperlink w:anchor="fn75">
        <w:r>
          <w:rPr>
            <w:rFonts w:eastAsia="helvetica neue" w:cs="helvetica neue" w:ascii="helvetica neue" w:hAnsi="helvetica neue"/>
            <w:color w:val="#000"/>
            <w:u w:val="single"/>
            <w:vertAlign w:val="superscript"/>
          </w:rPr>
          <w:t xml:space="preserve">[75]</w:t>
        </w:r>
      </w:hyperlink>
    </w:p>
    <w:p>
      <w:pPr>
        <w:spacing w:line="360" w:before="315" w:after="105" w:lineRule="auto"/>
        <w:ind w:left="-30"/>
        <w:jc w:val="left"/>
      </w:pPr>
      <w:bookmarkStart w:id="111" w:name="limiti_gdpr"/>
      <w:r>
        <w:rPr>
          <w:rFonts w:eastAsia="georgia" w:cs="georgia" w:ascii="georgia" w:hAnsi="georgia"/>
          <w:b/>
          <w:color w:val="000000"/>
          <w:sz w:val="24"/>
        </w:rPr>
        <w:t xml:space="preserve">Limiti GDPR</w:t>
      </w:r>
      <w:bookmarkEnd w:id="111"/>
    </w:p>
    <w:p>
      <w:pPr>
        <w:spacing w:line="360" w:after="210" w:lineRule="auto"/>
      </w:pPr>
      <w:r>
        <w:rPr>
          <w:rFonts w:eastAsia="georgia" w:cs="georgia" w:ascii="georgia" w:hAnsi="georgia"/>
          <w:color w:val="000000"/>
        </w:rPr>
        <w:t xml:space="preserve">Sul piano GDPR, devi verificare base giuridica, minimizzazione, limitazione delle finalità e correttezza del trattamento; inoltre, se la valutazione produce effetti significativi sulla persona, entra in gioco l’art. 22 sul decision-making automatizzato. Questo significa che il lavoratore deve poter ottenere intervento umano, esprimere il proprio punto di vista e contestare la decisione, soprattutto se il sistema genera proposte di demansionamento o licenziamento. In una PMI, il rischio più alto non è solo la sanzione, ma l’inutilizzabilità pratica e contenziosa del processo decisionale costruito male.</w:t>
      </w:r>
      <w:bookmarkStart w:id="112" w:name="fnref77_2"/>
      <w:bookmarkEnd w:id="112"/>
      <w:hyperlink w:anchor="fn77">
        <w:r>
          <w:rPr>
            <w:rFonts w:eastAsia="helvetica neue" w:cs="helvetica neue" w:ascii="helvetica neue" w:hAnsi="helvetica neue"/>
            <w:color w:val="#000"/>
            <w:u w:val="single"/>
            <w:vertAlign w:val="superscript"/>
          </w:rPr>
          <w:t xml:space="preserve">[77]</w:t>
        </w:r>
      </w:hyperlink>
      <w:bookmarkStart w:id="113" w:name="fnref78_2"/>
      <w:bookmarkEnd w:id="113"/>
      <w:hyperlink w:anchor="fn78">
        <w:r>
          <w:rPr>
            <w:rFonts w:eastAsia="helvetica neue" w:cs="helvetica neue" w:ascii="helvetica neue" w:hAnsi="helvetica neue"/>
            <w:color w:val="#000"/>
            <w:u w:val="single"/>
            <w:vertAlign w:val="superscript"/>
          </w:rPr>
          <w:t xml:space="preserve">[78]</w:t>
        </w:r>
      </w:hyperlink>
      <w:bookmarkStart w:id="114" w:name="fnref79_2"/>
      <w:bookmarkEnd w:id="114"/>
      <w:hyperlink w:anchor="fn79">
        <w:r>
          <w:rPr>
            <w:rFonts w:eastAsia="helvetica neue" w:cs="helvetica neue" w:ascii="helvetica neue" w:hAnsi="helvetica neue"/>
            <w:color w:val="#000"/>
            <w:u w:val="single"/>
            <w:vertAlign w:val="superscript"/>
          </w:rPr>
          <w:t xml:space="preserve">[79]</w:t>
        </w:r>
      </w:hyperlink>
      <w:bookmarkStart w:id="115" w:name="fnref76_3"/>
      <w:bookmarkEnd w:id="115"/>
      <w:hyperlink w:anchor="fn76">
        <w:r>
          <w:rPr>
            <w:rFonts w:eastAsia="helvetica neue" w:cs="helvetica neue" w:ascii="helvetica neue" w:hAnsi="helvetica neue"/>
            <w:color w:val="#000"/>
            <w:u w:val="single"/>
            <w:vertAlign w:val="superscript"/>
          </w:rPr>
          <w:t xml:space="preserve">[76]</w:t>
        </w:r>
      </w:hyperlink>
    </w:p>
    <w:p>
      <w:pPr>
        <w:spacing w:line="360" w:before="315" w:after="105" w:lineRule="auto"/>
        <w:ind w:left="-30"/>
        <w:jc w:val="left"/>
      </w:pPr>
      <w:bookmarkStart w:id="116" w:name="vincoli_di_lavoro"/>
      <w:r>
        <w:rPr>
          <w:rFonts w:eastAsia="georgia" w:cs="georgia" w:ascii="georgia" w:hAnsi="georgia"/>
          <w:b/>
          <w:color w:val="000000"/>
          <w:sz w:val="24"/>
        </w:rPr>
        <w:t xml:space="preserve">Vincoli di lavoro</w:t>
      </w:r>
      <w:bookmarkEnd w:id="116"/>
    </w:p>
    <w:p>
      <w:pPr>
        <w:spacing w:line="360" w:after="210" w:lineRule="auto"/>
      </w:pPr>
      <w:r>
        <w:rPr>
          <w:rFonts w:eastAsia="georgia" w:cs="georgia" w:ascii="georgia" w:hAnsi="georgia"/>
          <w:color w:val="000000"/>
        </w:rPr>
        <w:t xml:space="preserve">Sul versante lavoristico, il sistema deve rispettare anche le regole sui controlli a distanza e sui limiti alle informazioni acquisibili dal datore di lavoro, oltre agli obblighi informativi verso dipendenti e sindacati. Se la piattaforma incrocia performance, presenze, turni, errori, feedback e propone interventi sul rapporto di lavoro, il datore deve poter dimostrare che non sta compiendo un social scoring mascherato. Un algoritmo che “classifica” i lavoratori senza spiegare criteri, soglie e dati di addestramento è esattamente il tipo di soluzione che oggi espone a contestazioni.</w:t>
      </w:r>
      <w:bookmarkStart w:id="117" w:name="fnref81_2"/>
      <w:bookmarkEnd w:id="117"/>
      <w:hyperlink w:anchor="fn81">
        <w:r>
          <w:rPr>
            <w:rFonts w:eastAsia="helvetica neue" w:cs="helvetica neue" w:ascii="helvetica neue" w:hAnsi="helvetica neue"/>
            <w:color w:val="#000"/>
            <w:u w:val="single"/>
            <w:vertAlign w:val="superscript"/>
          </w:rPr>
          <w:t xml:space="preserve">[81]</w:t>
        </w:r>
      </w:hyperlink>
      <w:bookmarkStart w:id="118" w:name="fnref79_3"/>
      <w:bookmarkEnd w:id="118"/>
      <w:hyperlink w:anchor="fn79">
        <w:r>
          <w:rPr>
            <w:rFonts w:eastAsia="helvetica neue" w:cs="helvetica neue" w:ascii="helvetica neue" w:hAnsi="helvetica neue"/>
            <w:color w:val="#000"/>
            <w:u w:val="single"/>
            <w:vertAlign w:val="superscript"/>
          </w:rPr>
          <w:t xml:space="preserve">[79]</w:t>
        </w:r>
      </w:hyperlink>
      <w:bookmarkStart w:id="119" w:name="fnref82_1"/>
      <w:bookmarkEnd w:id="119"/>
      <w:hyperlink w:anchor="fn82">
        <w:r>
          <w:rPr>
            <w:rFonts w:eastAsia="helvetica neue" w:cs="helvetica neue" w:ascii="helvetica neue" w:hAnsi="helvetica neue"/>
            <w:color w:val="#000"/>
            <w:u w:val="single"/>
            <w:vertAlign w:val="superscript"/>
          </w:rPr>
          <w:t xml:space="preserve">[82]</w:t>
        </w:r>
      </w:hyperlink>
      <w:bookmarkStart w:id="120" w:name="fnref76_4"/>
      <w:bookmarkEnd w:id="120"/>
      <w:hyperlink w:anchor="fn76">
        <w:r>
          <w:rPr>
            <w:rFonts w:eastAsia="helvetica neue" w:cs="helvetica neue" w:ascii="helvetica neue" w:hAnsi="helvetica neue"/>
            <w:color w:val="#000"/>
            <w:u w:val="single"/>
            <w:vertAlign w:val="superscript"/>
          </w:rPr>
          <w:t xml:space="preserve">[76]</w:t>
        </w:r>
      </w:hyperlink>
    </w:p>
    <w:p>
      <w:pPr>
        <w:spacing w:line="360" w:before="315" w:after="105" w:lineRule="auto"/>
        <w:ind w:left="-30"/>
        <w:jc w:val="left"/>
      </w:pPr>
      <w:bookmarkStart w:id="121" w:name="compliance_minima"/>
      <w:r>
        <w:rPr>
          <w:rFonts w:eastAsia="georgia" w:cs="georgia" w:ascii="georgia" w:hAnsi="georgia"/>
          <w:b/>
          <w:color w:val="000000"/>
          <w:sz w:val="24"/>
        </w:rPr>
        <w:t xml:space="preserve">Compliance minima</w:t>
      </w:r>
      <w:bookmarkEnd w:id="121"/>
    </w:p>
    <w:p>
      <w:pPr>
        <w:spacing w:line="360" w:after="210" w:lineRule="auto"/>
      </w:pPr>
      <w:r>
        <w:rPr>
          <w:rFonts w:eastAsia="georgia" w:cs="georgia" w:ascii="georgia" w:hAnsi="georgia"/>
          <w:color w:val="000000"/>
        </w:rPr>
        <w:t xml:space="preserve">La check-list minima, in pratica, è questa:</w:t>
      </w:r>
    </w:p>
    <w:p>
      <w:pPr>
        <w:numPr>
          <w:ilvl w:val="0"/>
          <w:numId w:val="10"/>
        </w:numPr>
        <w:spacing w:line="360" w:before="105" w:after="105" w:lineRule="auto"/>
      </w:pPr>
      <w:r>
        <w:rPr>
          <w:rFonts w:eastAsia="georgia" w:cs="georgia" w:ascii="georgia" w:hAnsi="georgia"/>
          <w:color w:val="000000"/>
          <w:sz w:val="21"/>
        </w:rPr>
        <w:t xml:space="preserve">classificare formalmente il sistema e verificare se ricade nell’alto rischio.</w:t>
      </w:r>
      <w:bookmarkStart w:id="122" w:name="fnref80_2"/>
      <w:bookmarkEnd w:id="122"/>
      <w:hyperlink w:anchor="fn80">
        <w:r>
          <w:rPr>
            <w:rFonts w:eastAsia="helvetica neue" w:cs="helvetica neue" w:ascii="helvetica neue" w:hAnsi="helvetica neue"/>
            <w:color w:val="#000"/>
            <w:sz w:val="21"/>
            <w:u w:val="single"/>
            <w:vertAlign w:val="superscript"/>
          </w:rPr>
          <w:t xml:space="preserve">[80]</w:t>
        </w:r>
      </w:hyperlink>
      <w:bookmarkStart w:id="123" w:name="fnref76_5"/>
      <w:bookmarkEnd w:id="123"/>
      <w:hyperlink w:anchor="fn76">
        <w:r>
          <w:rPr>
            <w:rFonts w:eastAsia="helvetica neue" w:cs="helvetica neue" w:ascii="helvetica neue" w:hAnsi="helvetica neue"/>
            <w:color w:val="#000"/>
            <w:sz w:val="21"/>
            <w:u w:val="single"/>
            <w:vertAlign w:val="superscript"/>
          </w:rPr>
          <w:t xml:space="preserve">[76]</w:t>
        </w:r>
      </w:hyperlink>
    </w:p>
    <w:p>
      <w:pPr>
        <w:numPr>
          <w:ilvl w:val="0"/>
          <w:numId w:val="10"/>
        </w:numPr>
        <w:spacing w:line="360" w:before="105" w:after="105" w:lineRule="auto"/>
      </w:pPr>
      <w:r>
        <w:rPr>
          <w:rFonts w:eastAsia="georgia" w:cs="georgia" w:ascii="georgia" w:hAnsi="georgia"/>
          <w:color w:val="000000"/>
          <w:sz w:val="21"/>
        </w:rPr>
        <w:t xml:space="preserve">fare una DPIA e, se serve, una valutazione d’impatto sui diritti fondamentali.</w:t>
      </w:r>
      <w:bookmarkStart w:id="124" w:name="fnref79_4"/>
      <w:bookmarkEnd w:id="124"/>
      <w:hyperlink w:anchor="fn79">
        <w:r>
          <w:rPr>
            <w:rFonts w:eastAsia="helvetica neue" w:cs="helvetica neue" w:ascii="helvetica neue" w:hAnsi="helvetica neue"/>
            <w:color w:val="#000"/>
            <w:sz w:val="21"/>
            <w:u w:val="single"/>
            <w:vertAlign w:val="superscript"/>
          </w:rPr>
          <w:t xml:space="preserve">[79]</w:t>
        </w:r>
      </w:hyperlink>
      <w:bookmarkStart w:id="125" w:name="fnref76_6"/>
      <w:bookmarkEnd w:id="125"/>
      <w:hyperlink w:anchor="fn76">
        <w:r>
          <w:rPr>
            <w:rFonts w:eastAsia="helvetica neue" w:cs="helvetica neue" w:ascii="helvetica neue" w:hAnsi="helvetica neue"/>
            <w:color w:val="#000"/>
            <w:sz w:val="21"/>
            <w:u w:val="single"/>
            <w:vertAlign w:val="superscript"/>
          </w:rPr>
          <w:t xml:space="preserve">[76]</w:t>
        </w:r>
      </w:hyperlink>
    </w:p>
    <w:p>
      <w:pPr>
        <w:numPr>
          <w:ilvl w:val="0"/>
          <w:numId w:val="10"/>
        </w:numPr>
        <w:spacing w:line="360" w:before="105" w:after="105" w:lineRule="auto"/>
      </w:pPr>
      <w:r>
        <w:rPr>
          <w:rFonts w:eastAsia="georgia" w:cs="georgia" w:ascii="georgia" w:hAnsi="georgia"/>
          <w:color w:val="000000"/>
          <w:sz w:val="21"/>
        </w:rPr>
        <w:t xml:space="preserve">documentare dati, logica, metriche e limiti del modello.</w:t>
      </w:r>
      <w:bookmarkStart w:id="126" w:name="fnref76_7"/>
      <w:bookmarkEnd w:id="126"/>
      <w:hyperlink w:anchor="fn76">
        <w:r>
          <w:rPr>
            <w:rFonts w:eastAsia="helvetica neue" w:cs="helvetica neue" w:ascii="helvetica neue" w:hAnsi="helvetica neue"/>
            <w:color w:val="#000"/>
            <w:sz w:val="21"/>
            <w:u w:val="single"/>
            <w:vertAlign w:val="superscript"/>
          </w:rPr>
          <w:t xml:space="preserve">[76]</w:t>
        </w:r>
      </w:hyperlink>
      <w:bookmarkStart w:id="127" w:name="fnref80_3"/>
      <w:bookmarkEnd w:id="127"/>
      <w:hyperlink w:anchor="fn80">
        <w:r>
          <w:rPr>
            <w:rFonts w:eastAsia="helvetica neue" w:cs="helvetica neue" w:ascii="helvetica neue" w:hAnsi="helvetica neue"/>
            <w:color w:val="#000"/>
            <w:sz w:val="21"/>
            <w:u w:val="single"/>
            <w:vertAlign w:val="superscript"/>
          </w:rPr>
          <w:t xml:space="preserve">[80]</w:t>
        </w:r>
      </w:hyperlink>
    </w:p>
    <w:p>
      <w:pPr>
        <w:numPr>
          <w:ilvl w:val="0"/>
          <w:numId w:val="10"/>
        </w:numPr>
        <w:spacing w:line="360" w:before="105" w:after="105" w:lineRule="auto"/>
      </w:pPr>
      <w:r>
        <w:rPr>
          <w:rFonts w:eastAsia="georgia" w:cs="georgia" w:ascii="georgia" w:hAnsi="georgia"/>
          <w:color w:val="000000"/>
          <w:sz w:val="21"/>
        </w:rPr>
        <w:t xml:space="preserve">assicurare human oversight reale, non solo nominale.</w:t>
      </w:r>
      <w:bookmarkStart w:id="128" w:name="fnref75_3"/>
      <w:bookmarkEnd w:id="128"/>
      <w:hyperlink w:anchor="fn75">
        <w:r>
          <w:rPr>
            <w:rFonts w:eastAsia="helvetica neue" w:cs="helvetica neue" w:ascii="helvetica neue" w:hAnsi="helvetica neue"/>
            <w:color w:val="#000"/>
            <w:sz w:val="21"/>
            <w:u w:val="single"/>
            <w:vertAlign w:val="superscript"/>
          </w:rPr>
          <w:t xml:space="preserve">[75]</w:t>
        </w:r>
      </w:hyperlink>
      <w:bookmarkStart w:id="129" w:name="fnref79_5"/>
      <w:bookmarkEnd w:id="129"/>
      <w:hyperlink w:anchor="fn79">
        <w:r>
          <w:rPr>
            <w:rFonts w:eastAsia="helvetica neue" w:cs="helvetica neue" w:ascii="helvetica neue" w:hAnsi="helvetica neue"/>
            <w:color w:val="#000"/>
            <w:sz w:val="21"/>
            <w:u w:val="single"/>
            <w:vertAlign w:val="superscript"/>
          </w:rPr>
          <w:t xml:space="preserve">[79]</w:t>
        </w:r>
      </w:hyperlink>
    </w:p>
    <w:p>
      <w:pPr>
        <w:numPr>
          <w:ilvl w:val="0"/>
          <w:numId w:val="10"/>
        </w:numPr>
        <w:spacing w:line="360" w:before="105" w:after="105" w:lineRule="auto"/>
      </w:pPr>
      <w:r>
        <w:rPr>
          <w:rFonts w:eastAsia="georgia" w:cs="georgia" w:ascii="georgia" w:hAnsi="georgia"/>
          <w:color w:val="000000"/>
          <w:sz w:val="21"/>
        </w:rPr>
        <w:t xml:space="preserve">informare lavoratori e sindacati in modo chiaro e tempestivo.</w:t>
      </w:r>
      <w:bookmarkStart w:id="130" w:name="fnref78_3"/>
      <w:bookmarkEnd w:id="130"/>
      <w:hyperlink w:anchor="fn78">
        <w:r>
          <w:rPr>
            <w:rFonts w:eastAsia="helvetica neue" w:cs="helvetica neue" w:ascii="helvetica neue" w:hAnsi="helvetica neue"/>
            <w:color w:val="#000"/>
            <w:sz w:val="21"/>
            <w:u w:val="single"/>
            <w:vertAlign w:val="superscript"/>
          </w:rPr>
          <w:t xml:space="preserve">[78]</w:t>
        </w:r>
      </w:hyperlink>
      <w:bookmarkStart w:id="131" w:name="fnref79_6"/>
      <w:bookmarkEnd w:id="131"/>
      <w:hyperlink w:anchor="fn79">
        <w:r>
          <w:rPr>
            <w:rFonts w:eastAsia="helvetica neue" w:cs="helvetica neue" w:ascii="helvetica neue" w:hAnsi="helvetica neue"/>
            <w:color w:val="#000"/>
            <w:sz w:val="21"/>
            <w:u w:val="single"/>
            <w:vertAlign w:val="superscript"/>
          </w:rPr>
          <w:t xml:space="preserve">[79]</w:t>
        </w:r>
      </w:hyperlink>
    </w:p>
    <w:p>
      <w:pPr>
        <w:numPr>
          <w:ilvl w:val="0"/>
          <w:numId w:val="10"/>
        </w:numPr>
        <w:spacing w:line="360" w:before="105" w:after="105" w:lineRule="auto"/>
      </w:pPr>
      <w:r>
        <w:rPr>
          <w:rFonts w:eastAsia="georgia" w:cs="georgia" w:ascii="georgia" w:hAnsi="georgia"/>
          <w:color w:val="000000"/>
          <w:sz w:val="21"/>
        </w:rPr>
        <w:t xml:space="preserve">testare bias e impatti discriminatori prima del deploy e periodicamente dopo.</w:t>
      </w:r>
      <w:bookmarkStart w:id="132" w:name="fnref81_3"/>
      <w:bookmarkEnd w:id="132"/>
      <w:hyperlink w:anchor="fn81">
        <w:r>
          <w:rPr>
            <w:rFonts w:eastAsia="helvetica neue" w:cs="helvetica neue" w:ascii="helvetica neue" w:hAnsi="helvetica neue"/>
            <w:color w:val="#000"/>
            <w:sz w:val="21"/>
            <w:u w:val="single"/>
            <w:vertAlign w:val="superscript"/>
          </w:rPr>
          <w:t xml:space="preserve">[81]</w:t>
        </w:r>
      </w:hyperlink>
      <w:bookmarkStart w:id="133" w:name="fnref80_4"/>
      <w:bookmarkEnd w:id="133"/>
      <w:hyperlink w:anchor="fn80">
        <w:r>
          <w:rPr>
            <w:rFonts w:eastAsia="helvetica neue" w:cs="helvetica neue" w:ascii="helvetica neue" w:hAnsi="helvetica neue"/>
            <w:color w:val="#000"/>
            <w:sz w:val="21"/>
            <w:u w:val="single"/>
            <w:vertAlign w:val="superscript"/>
          </w:rPr>
          <w:t xml:space="preserve">[80]</w:t>
        </w:r>
      </w:hyperlink>
    </w:p>
    <w:p>
      <w:pPr>
        <w:numPr>
          <w:ilvl w:val="0"/>
          <w:numId w:val="10"/>
        </w:numPr>
        <w:spacing w:line="360" w:before="105" w:after="105" w:lineRule="auto"/>
      </w:pPr>
      <w:r>
        <w:rPr>
          <w:rFonts w:eastAsia="georgia" w:cs="georgia" w:ascii="georgia" w:hAnsi="georgia"/>
          <w:color w:val="000000"/>
          <w:sz w:val="21"/>
        </w:rPr>
        <w:t xml:space="preserve">vietare che il sistema determini da solo demansionamenti o licenziamenti.</w:t>
      </w:r>
      <w:bookmarkStart w:id="134" w:name="fnref79_7"/>
      <w:bookmarkEnd w:id="134"/>
      <w:hyperlink w:anchor="fn79">
        <w:r>
          <w:rPr>
            <w:rFonts w:eastAsia="helvetica neue" w:cs="helvetica neue" w:ascii="helvetica neue" w:hAnsi="helvetica neue"/>
            <w:color w:val="#000"/>
            <w:sz w:val="21"/>
            <w:u w:val="single"/>
            <w:vertAlign w:val="superscript"/>
          </w:rPr>
          <w:t xml:space="preserve">[79]</w:t>
        </w:r>
      </w:hyperlink>
      <w:bookmarkStart w:id="135" w:name="fnref76_8"/>
      <w:bookmarkEnd w:id="135"/>
      <w:hyperlink w:anchor="fn76">
        <w:r>
          <w:rPr>
            <w:rFonts w:eastAsia="helvetica neue" w:cs="helvetica neue" w:ascii="helvetica neue" w:hAnsi="helvetica neue"/>
            <w:color w:val="#000"/>
            <w:sz w:val="21"/>
            <w:u w:val="single"/>
            <w:vertAlign w:val="superscript"/>
          </w:rPr>
          <w:t xml:space="preserve">[76]</w:t>
        </w:r>
      </w:hyperlink>
    </w:p>
    <w:p>
      <w:pPr>
        <w:spacing w:line="360" w:before="315" w:after="105" w:lineRule="auto"/>
        <w:ind w:left="-30"/>
        <w:jc w:val="left"/>
      </w:pPr>
      <w:bookmarkStart w:id="136" w:name="sintesi_operativa"/>
      <w:r>
        <w:rPr>
          <w:rFonts w:eastAsia="georgia" w:cs="georgia" w:ascii="georgia" w:hAnsi="georgia"/>
          <w:b/>
          <w:color w:val="000000"/>
          <w:sz w:val="24"/>
        </w:rPr>
        <w:t xml:space="preserve">Sintesi operativa</w:t>
      </w:r>
      <w:bookmarkEnd w:id="136"/>
    </w:p>
    <w:p>
      <w:pPr>
        <w:spacing w:line="360" w:after="210" w:lineRule="auto"/>
      </w:pPr>
      <w:r>
        <w:rPr>
          <w:rFonts w:eastAsia="georgia" w:cs="georgia" w:ascii="georgia" w:hAnsi="georgia"/>
          <w:color w:val="000000"/>
        </w:rPr>
        <w:t xml:space="preserve">Quindi: </w:t>
      </w:r>
      <w:r>
        <w:rPr>
          <w:rFonts w:eastAsia="georgia" w:cs="georgia" w:ascii="georgia" w:hAnsi="georgia"/>
          <w:b/>
          <w:color w:val="000000"/>
        </w:rPr>
        <w:t xml:space="preserve">sì all’AI come supporto</w:t>
      </w:r>
      <w:r>
        <w:rPr>
          <w:rFonts w:eastAsia="georgia" w:cs="georgia" w:ascii="georgia" w:hAnsi="georgia"/>
          <w:color w:val="000000"/>
        </w:rPr>
        <w:t xml:space="preserve">, no all’AI come giudice finale delle persone. Più la piattaforma entra in decisioni HR individuali, più si avvicina a una zona regolata da AI Act, GDPR, Statuto dei lavoratori e legge 132/2025, con obblighi cumulativi e rischio contenzioso elevato. Il confine pratico è semplice: l’AI può suggerire, ma il datore deve decidere, motivare e controllare.</w:t>
      </w:r>
      <w:bookmarkStart w:id="137" w:name="fnref78_4"/>
      <w:bookmarkEnd w:id="137"/>
      <w:hyperlink w:anchor="fn78">
        <w:r>
          <w:rPr>
            <w:rFonts w:eastAsia="helvetica neue" w:cs="helvetica neue" w:ascii="helvetica neue" w:hAnsi="helvetica neue"/>
            <w:color w:val="#000"/>
            <w:u w:val="single"/>
            <w:vertAlign w:val="superscript"/>
          </w:rPr>
          <w:t xml:space="preserve">[78]</w:t>
        </w:r>
      </w:hyperlink>
      <w:bookmarkStart w:id="138" w:name="fnref75_4"/>
      <w:bookmarkEnd w:id="138"/>
      <w:hyperlink w:anchor="fn75">
        <w:r>
          <w:rPr>
            <w:rFonts w:eastAsia="helvetica neue" w:cs="helvetica neue" w:ascii="helvetica neue" w:hAnsi="helvetica neue"/>
            <w:color w:val="#000"/>
            <w:u w:val="single"/>
            <w:vertAlign w:val="superscript"/>
          </w:rPr>
          <w:t xml:space="preserve">[75]</w:t>
        </w:r>
      </w:hyperlink>
      <w:bookmarkStart w:id="139" w:name="fnref76_9"/>
      <w:bookmarkEnd w:id="139"/>
      <w:hyperlink w:anchor="fn76">
        <w:r>
          <w:rPr>
            <w:rFonts w:eastAsia="helvetica neue" w:cs="helvetica neue" w:ascii="helvetica neue" w:hAnsi="helvetica neue"/>
            <w:color w:val="#000"/>
            <w:u w:val="single"/>
            <w:vertAlign w:val="superscript"/>
          </w:rPr>
          <w:t xml:space="preserve">[76]</w:t>
        </w:r>
      </w:hyperlink>
      <w:bookmarkStart w:id="140" w:name="fnref79_8"/>
      <w:bookmarkEnd w:id="140"/>
      <w:hyperlink w:anchor="fn79">
        <w:r>
          <w:rPr>
            <w:rFonts w:eastAsia="helvetica neue" w:cs="helvetica neue" w:ascii="helvetica neue" w:hAnsi="helvetica neue"/>
            <w:color w:val="#000"/>
            <w:u w:val="single"/>
            <w:vertAlign w:val="superscript"/>
          </w:rPr>
          <w:t xml:space="preserve">[79]</w:t>
        </w:r>
      </w:hyperlink>
    </w:p>
    <w:p>
      <w:pPr>
        <w:spacing w:line="360" w:after="210" w:lineRule="auto"/>
      </w:pPr>
      <w:r>
        <w:rPr>
          <w:rFonts w:eastAsia="georgia" w:cs="georgia" w:ascii="georgia" w:hAnsi="georgia"/>
          <w:color w:val="000000"/>
        </w:rPr>
        <w:t xml:space="preserve">Posso anche trasformare questo in una </w:t>
      </w:r>
      <w:r>
        <w:rPr>
          <w:rFonts w:eastAsia="georgia" w:cs="georgia" w:ascii="georgia" w:hAnsi="georgia"/>
          <w:b/>
          <w:color w:val="000000"/>
        </w:rPr>
        <w:t xml:space="preserve">policy aziendale di 1 pagina</w:t>
      </w:r>
      <w:r>
        <w:rPr>
          <w:rFonts w:eastAsia="georgia" w:cs="georgia" w:ascii="georgia" w:hAnsi="georgia"/>
          <w:color w:val="000000"/>
        </w:rPr>
        <w:t xml:space="preserve"> oppure in una </w:t>
      </w:r>
      <w:r>
        <w:rPr>
          <w:rFonts w:eastAsia="georgia" w:cs="georgia" w:ascii="georgia" w:hAnsi="georgia"/>
          <w:b/>
          <w:color w:val="000000"/>
        </w:rPr>
        <w:t xml:space="preserve">matrice rischio/compliance per PMI</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1" w:name="policy_aziendale_per_l_uso_di_sis_801a7e"/>
      <w:r>
        <w:rPr>
          <w:rFonts w:eastAsia="georgia" w:cs="georgia" w:ascii="georgia" w:hAnsi="georgia"/>
          <w:b/>
          <w:color w:val="000000"/>
          <w:sz w:val="39"/>
        </w:rPr>
        <w:t xml:space="preserve">Policy aziendale per l'uso di sistemi di Intelligenza Artificiale nella gestione del lavoro</w:t>
      </w:r>
      <w:bookmarkEnd w:id="141"/>
    </w:p>
    <w:p>
      <w:pPr>
        <w:spacing w:line="360" w:before="315" w:after="105" w:lineRule="auto"/>
        <w:ind w:left="-30"/>
        <w:jc w:val="left"/>
      </w:pPr>
      <w:bookmarkStart w:id="142" w:name="finalità"/>
      <w:r>
        <w:rPr>
          <w:rFonts w:eastAsia="georgia" w:cs="georgia" w:ascii="georgia" w:hAnsi="georgia"/>
          <w:b/>
          <w:color w:val="000000"/>
          <w:sz w:val="24"/>
        </w:rPr>
        <w:t xml:space="preserve">Finalità</w:t>
      </w:r>
      <w:bookmarkEnd w:id="142"/>
    </w:p>
    <w:p>
      <w:pPr>
        <w:spacing w:line="360" w:after="210" w:lineRule="auto"/>
      </w:pPr>
      <w:r>
        <w:rPr>
          <w:rFonts w:eastAsia="georgia" w:cs="georgia" w:ascii="georgia" w:hAnsi="georgia"/>
          <w:color w:val="000000"/>
        </w:rPr>
        <w:t xml:space="preserve">La presente policy disciplina l'adozione e l'utilizzo di sistemi di Intelligenza Artificiale impiegati per la pianificazione delle attività, l'analisi dei carichi di lavoro, il supporto alla valutazione dell'efficienza dei processi e la formulazione di suggerimenti organizzativi relativi al personale. L'impiego di tali sistemi è ammesso solo come strumento di supporto alle decisioni umane e non può costituire base esclusiva per decisioni che incidano sui diritti, sulle mansioni, sulla retribuzione, sulla carriera o sulla continuità del rapporto di lavoro del singolo dipendente.</w:t>
      </w:r>
      <w:bookmarkStart w:id="143" w:name="fnref89"/>
      <w:bookmarkEnd w:id="143"/>
      <w:hyperlink w:anchor="fn89">
        <w:r>
          <w:rPr>
            <w:rFonts w:eastAsia="helvetica neue" w:cs="helvetica neue" w:ascii="helvetica neue" w:hAnsi="helvetica neue"/>
            <w:color w:val="#000"/>
            <w:u w:val="single"/>
            <w:vertAlign w:val="superscript"/>
          </w:rPr>
          <w:t xml:space="preserve">[89]</w:t>
        </w:r>
      </w:hyperlink>
      <w:bookmarkStart w:id="144" w:name="fnref90"/>
      <w:bookmarkEnd w:id="144"/>
      <w:hyperlink w:anchor="fn90">
        <w:r>
          <w:rPr>
            <w:rFonts w:eastAsia="helvetica neue" w:cs="helvetica neue" w:ascii="helvetica neue" w:hAnsi="helvetica neue"/>
            <w:color w:val="#000"/>
            <w:u w:val="single"/>
            <w:vertAlign w:val="superscript"/>
          </w:rPr>
          <w:t xml:space="preserve">[90]</w:t>
        </w:r>
      </w:hyperlink>
    </w:p>
    <w:p>
      <w:pPr>
        <w:spacing w:line="360" w:before="315" w:after="105" w:lineRule="auto"/>
        <w:ind w:left="-30"/>
        <w:jc w:val="left"/>
      </w:pPr>
      <w:bookmarkStart w:id="145" w:name="ambito_di_applicazione"/>
      <w:r>
        <w:rPr>
          <w:rFonts w:eastAsia="georgia" w:cs="georgia" w:ascii="georgia" w:hAnsi="georgia"/>
          <w:b/>
          <w:color w:val="000000"/>
          <w:sz w:val="24"/>
        </w:rPr>
        <w:t xml:space="preserve">Ambito di applicazione</w:t>
      </w:r>
      <w:bookmarkEnd w:id="145"/>
    </w:p>
    <w:p>
      <w:pPr>
        <w:spacing w:line="360" w:after="210" w:lineRule="auto"/>
      </w:pPr>
      <w:r>
        <w:rPr>
          <w:rFonts w:eastAsia="georgia" w:cs="georgia" w:ascii="georgia" w:hAnsi="georgia"/>
          <w:color w:val="000000"/>
        </w:rPr>
        <w:t xml:space="preserve">La policy si applica a tutti i sistemi software, modelli predittivi, strumenti di analytics e piattaforme di AI utilizzati dall'azienda, direttamente o tramite fornitori terzi, nei processi di organizzazione del lavoro e di gestione delle risorse umane. Rientrano nel perimetro anche i sistemi che suggeriscono assegnazioni, trasferimenti, promozioni, piani di formazione, interventi correttivi, demansionamenti o altre misure aventi impatto individuale.</w:t>
      </w:r>
      <w:bookmarkStart w:id="146" w:name="fnref91"/>
      <w:bookmarkEnd w:id="146"/>
      <w:hyperlink w:anchor="fn91">
        <w:r>
          <w:rPr>
            <w:rFonts w:eastAsia="helvetica neue" w:cs="helvetica neue" w:ascii="helvetica neue" w:hAnsi="helvetica neue"/>
            <w:color w:val="#000"/>
            <w:u w:val="single"/>
            <w:vertAlign w:val="superscript"/>
          </w:rPr>
          <w:t xml:space="preserve">[91]</w:t>
        </w:r>
      </w:hyperlink>
      <w:bookmarkStart w:id="147" w:name="fnref92"/>
      <w:bookmarkEnd w:id="147"/>
      <w:hyperlink w:anchor="fn92">
        <w:r>
          <w:rPr>
            <w:rFonts w:eastAsia="helvetica neue" w:cs="helvetica neue" w:ascii="helvetica neue" w:hAnsi="helvetica neue"/>
            <w:color w:val="#000"/>
            <w:u w:val="single"/>
            <w:vertAlign w:val="superscript"/>
          </w:rPr>
          <w:t xml:space="preserve">[92]</w:t>
        </w:r>
      </w:hyperlink>
    </w:p>
    <w:p>
      <w:pPr>
        <w:spacing w:line="360" w:before="315" w:after="105" w:lineRule="auto"/>
        <w:ind w:left="-30"/>
        <w:jc w:val="left"/>
      </w:pPr>
      <w:bookmarkStart w:id="148" w:name="principi_vincolanti"/>
      <w:r>
        <w:rPr>
          <w:rFonts w:eastAsia="georgia" w:cs="georgia" w:ascii="georgia" w:hAnsi="georgia"/>
          <w:b/>
          <w:color w:val="000000"/>
          <w:sz w:val="24"/>
        </w:rPr>
        <w:t xml:space="preserve">Principi vincolanti</w:t>
      </w:r>
      <w:bookmarkEnd w:id="148"/>
    </w:p>
    <w:p>
      <w:pPr>
        <w:spacing w:line="360" w:after="210" w:lineRule="auto"/>
      </w:pPr>
      <w:r>
        <w:rPr>
          <w:rFonts w:eastAsia="georgia" w:cs="georgia" w:ascii="georgia" w:hAnsi="georgia"/>
          <w:color w:val="000000"/>
        </w:rPr>
        <w:t xml:space="preserve">L'azienda adotta i seguenti principi: liceità, correttezza, trasparenza, minimizzazione dei dati, non discriminazione, sicurezza, tracciabilità delle decisioni e supervisione umana effettiva. È vietato utilizzare sistemi di AI come unico strumento per classificare i lavoratori, attribuire punteggi reputazionali o assumere decisioni esclusivamente automatizzate con effetti significativi sulla persona.</w:t>
      </w:r>
      <w:bookmarkStart w:id="149" w:name="fnref90_1"/>
      <w:bookmarkEnd w:id="149"/>
      <w:hyperlink w:anchor="fn90">
        <w:r>
          <w:rPr>
            <w:rFonts w:eastAsia="helvetica neue" w:cs="helvetica neue" w:ascii="helvetica neue" w:hAnsi="helvetica neue"/>
            <w:color w:val="#000"/>
            <w:u w:val="single"/>
            <w:vertAlign w:val="superscript"/>
          </w:rPr>
          <w:t xml:space="preserve">[90]</w:t>
        </w:r>
      </w:hyperlink>
      <w:bookmarkStart w:id="150" w:name="fnref93"/>
      <w:bookmarkEnd w:id="150"/>
      <w:hyperlink w:anchor="fn93">
        <w:r>
          <w:rPr>
            <w:rFonts w:eastAsia="helvetica neue" w:cs="helvetica neue" w:ascii="helvetica neue" w:hAnsi="helvetica neue"/>
            <w:color w:val="#000"/>
            <w:u w:val="single"/>
            <w:vertAlign w:val="superscript"/>
          </w:rPr>
          <w:t xml:space="preserve">[93]</w:t>
        </w:r>
      </w:hyperlink>
      <w:bookmarkStart w:id="151" w:name="fnref94"/>
      <w:bookmarkEnd w:id="151"/>
      <w:hyperlink w:anchor="fn94">
        <w:r>
          <w:rPr>
            <w:rFonts w:eastAsia="helvetica neue" w:cs="helvetica neue" w:ascii="helvetica neue" w:hAnsi="helvetica neue"/>
            <w:color w:val="#000"/>
            <w:u w:val="single"/>
            <w:vertAlign w:val="superscript"/>
          </w:rPr>
          <w:t xml:space="preserve">[94]</w:t>
        </w:r>
      </w:hyperlink>
      <w:bookmarkStart w:id="152" w:name="fnref89_1"/>
      <w:bookmarkEnd w:id="152"/>
      <w:hyperlink w:anchor="fn89">
        <w:r>
          <w:rPr>
            <w:rFonts w:eastAsia="helvetica neue" w:cs="helvetica neue" w:ascii="helvetica neue" w:hAnsi="helvetica neue"/>
            <w:color w:val="#000"/>
            <w:u w:val="single"/>
            <w:vertAlign w:val="superscript"/>
          </w:rPr>
          <w:t xml:space="preserve">[89]</w:t>
        </w:r>
      </w:hyperlink>
    </w:p>
    <w:p>
      <w:pPr>
        <w:spacing w:line="360" w:before="315" w:after="105" w:lineRule="auto"/>
        <w:ind w:left="-30"/>
        <w:jc w:val="left"/>
      </w:pPr>
      <w:bookmarkStart w:id="153" w:name="regole_operative"/>
      <w:r>
        <w:rPr>
          <w:rFonts w:eastAsia="georgia" w:cs="georgia" w:ascii="georgia" w:hAnsi="georgia"/>
          <w:b/>
          <w:color w:val="000000"/>
          <w:sz w:val="24"/>
        </w:rPr>
        <w:t xml:space="preserve">Regole operative</w:t>
      </w:r>
      <w:bookmarkEnd w:id="153"/>
    </w:p>
    <w:p>
      <w:pPr>
        <w:spacing w:line="360" w:after="210" w:lineRule="auto"/>
      </w:pPr>
      <w:r>
        <w:rPr>
          <w:rFonts w:eastAsia="georgia" w:cs="georgia" w:ascii="georgia" w:hAnsi="georgia"/>
          <w:color w:val="000000"/>
        </w:rPr>
        <w:t xml:space="preserve">Prima dell'attivazione di un sistema di AI, l'azienda deve: classificare il sistema in base al rischio regolatorio; verificare la base giuridica del trattamento; svolgere la valutazione d'impatto privacy, ove necessaria; documentare finalità, dati utilizzati, criteri di funzionamento, metriche e limiti del modello; definire il soggetto responsabile della supervisione umana; informare in modo chiaro lavoratori e rappresentanze sindacali, secondo la normativa applicabile. Ogni output algoritmico deve essere riesaminato da un responsabile umano competente prima dell'adozione di qualsiasi decisione organizzativa o disciplinare.</w:t>
      </w:r>
      <w:bookmarkStart w:id="154" w:name="fnref95"/>
      <w:bookmarkEnd w:id="154"/>
      <w:hyperlink w:anchor="fn95">
        <w:r>
          <w:rPr>
            <w:rFonts w:eastAsia="helvetica neue" w:cs="helvetica neue" w:ascii="helvetica neue" w:hAnsi="helvetica neue"/>
            <w:color w:val="#000"/>
            <w:u w:val="single"/>
            <w:vertAlign w:val="superscript"/>
          </w:rPr>
          <w:t xml:space="preserve">[95]</w:t>
        </w:r>
      </w:hyperlink>
      <w:bookmarkStart w:id="155" w:name="fnref89_2"/>
      <w:bookmarkEnd w:id="155"/>
      <w:hyperlink w:anchor="fn89">
        <w:r>
          <w:rPr>
            <w:rFonts w:eastAsia="helvetica neue" w:cs="helvetica neue" w:ascii="helvetica neue" w:hAnsi="helvetica neue"/>
            <w:color w:val="#000"/>
            <w:u w:val="single"/>
            <w:vertAlign w:val="superscript"/>
          </w:rPr>
          <w:t xml:space="preserve">[89]</w:t>
        </w:r>
      </w:hyperlink>
      <w:bookmarkStart w:id="156" w:name="fnref90_2"/>
      <w:bookmarkEnd w:id="156"/>
      <w:hyperlink w:anchor="fn90">
        <w:r>
          <w:rPr>
            <w:rFonts w:eastAsia="helvetica neue" w:cs="helvetica neue" w:ascii="helvetica neue" w:hAnsi="helvetica neue"/>
            <w:color w:val="#000"/>
            <w:u w:val="single"/>
            <w:vertAlign w:val="superscript"/>
          </w:rPr>
          <w:t xml:space="preserve">[90]</w:t>
        </w:r>
      </w:hyperlink>
      <w:bookmarkStart w:id="157" w:name="fnref91_1"/>
      <w:bookmarkEnd w:id="157"/>
      <w:hyperlink w:anchor="fn91">
        <w:r>
          <w:rPr>
            <w:rFonts w:eastAsia="helvetica neue" w:cs="helvetica neue" w:ascii="helvetica neue" w:hAnsi="helvetica neue"/>
            <w:color w:val="#000"/>
            <w:u w:val="single"/>
            <w:vertAlign w:val="superscript"/>
          </w:rPr>
          <w:t xml:space="preserve">[91]</w:t>
        </w:r>
      </w:hyperlink>
    </w:p>
    <w:p>
      <w:pPr>
        <w:spacing w:line="360" w:before="315" w:after="105" w:lineRule="auto"/>
        <w:ind w:left="-30"/>
        <w:jc w:val="left"/>
      </w:pPr>
      <w:bookmarkStart w:id="158" w:name="divieti_specifici"/>
      <w:r>
        <w:rPr>
          <w:rFonts w:eastAsia="georgia" w:cs="georgia" w:ascii="georgia" w:hAnsi="georgia"/>
          <w:b/>
          <w:color w:val="000000"/>
          <w:sz w:val="24"/>
        </w:rPr>
        <w:t xml:space="preserve">Divieti specifici</w:t>
      </w:r>
      <w:bookmarkEnd w:id="158"/>
    </w:p>
    <w:p>
      <w:pPr>
        <w:spacing w:line="360" w:after="210" w:lineRule="auto"/>
      </w:pPr>
      <w:r>
        <w:rPr>
          <w:rFonts w:eastAsia="georgia" w:cs="georgia" w:ascii="georgia" w:hAnsi="georgia"/>
          <w:color w:val="000000"/>
        </w:rPr>
        <w:t xml:space="preserve">Non è consentito usare la piattaforma per giustificare automaticamente demansionamenti, esclusioni da percorsi di crescita, penalizzazioni economiche o licenziamenti. Non è consentito trattare dati eccedenti rispetto alle finalità dichiarate, né utilizzare dati inesatti, obsoleti o distorsivi che possano produrre effetti discriminatori diretti o indiretti.</w:t>
      </w:r>
      <w:bookmarkStart w:id="159" w:name="fnref94_1"/>
      <w:bookmarkEnd w:id="159"/>
      <w:hyperlink w:anchor="fn94">
        <w:r>
          <w:rPr>
            <w:rFonts w:eastAsia="helvetica neue" w:cs="helvetica neue" w:ascii="helvetica neue" w:hAnsi="helvetica neue"/>
            <w:color w:val="#000"/>
            <w:u w:val="single"/>
            <w:vertAlign w:val="superscript"/>
          </w:rPr>
          <w:t xml:space="preserve">[94]</w:t>
        </w:r>
      </w:hyperlink>
      <w:bookmarkStart w:id="160" w:name="fnref91_2"/>
      <w:bookmarkEnd w:id="160"/>
      <w:hyperlink w:anchor="fn91">
        <w:r>
          <w:rPr>
            <w:rFonts w:eastAsia="helvetica neue" w:cs="helvetica neue" w:ascii="helvetica neue" w:hAnsi="helvetica neue"/>
            <w:color w:val="#000"/>
            <w:u w:val="single"/>
            <w:vertAlign w:val="superscript"/>
          </w:rPr>
          <w:t xml:space="preserve">[91]</w:t>
        </w:r>
      </w:hyperlink>
    </w:p>
    <w:p>
      <w:pPr>
        <w:spacing w:line="360" w:before="315" w:after="105" w:lineRule="auto"/>
        <w:ind w:left="-30"/>
        <w:jc w:val="left"/>
      </w:pPr>
      <w:bookmarkStart w:id="161" w:name="controlli_e_rimedi"/>
      <w:r>
        <w:rPr>
          <w:rFonts w:eastAsia="georgia" w:cs="georgia" w:ascii="georgia" w:hAnsi="georgia"/>
          <w:b/>
          <w:color w:val="000000"/>
          <w:sz w:val="24"/>
        </w:rPr>
        <w:t xml:space="preserve">Controlli e rimedi</w:t>
      </w:r>
      <w:bookmarkEnd w:id="161"/>
    </w:p>
    <w:p>
      <w:pPr>
        <w:spacing w:line="360" w:after="210" w:lineRule="auto"/>
      </w:pPr>
      <w:r>
        <w:rPr>
          <w:rFonts w:eastAsia="georgia" w:cs="georgia" w:ascii="georgia" w:hAnsi="georgia"/>
          <w:color w:val="000000"/>
        </w:rPr>
        <w:t xml:space="preserve">L'azienda effettua verifiche periodiche sulla qualità dei dati, sull'accuratezza degli output e sull'eventuale presenza di bias o impatti discriminatori. Ogni lavoratore interessato da decisioni supportate dall'AI ha diritto a ricevere informazioni comprensibili sul processo, a chiedere l'intervento umano, a contestare l'esito e a ottenere riesame della decisione.</w:t>
      </w:r>
      <w:bookmarkStart w:id="162" w:name="fnref90_3"/>
      <w:bookmarkEnd w:id="162"/>
      <w:hyperlink w:anchor="fn90">
        <w:r>
          <w:rPr>
            <w:rFonts w:eastAsia="helvetica neue" w:cs="helvetica neue" w:ascii="helvetica neue" w:hAnsi="helvetica neue"/>
            <w:color w:val="#000"/>
            <w:u w:val="single"/>
            <w:vertAlign w:val="superscript"/>
          </w:rPr>
          <w:t xml:space="preserve">[90]</w:t>
        </w:r>
      </w:hyperlink>
      <w:bookmarkStart w:id="163" w:name="fnref91_3"/>
      <w:bookmarkEnd w:id="163"/>
      <w:hyperlink w:anchor="fn91">
        <w:r>
          <w:rPr>
            <w:rFonts w:eastAsia="helvetica neue" w:cs="helvetica neue" w:ascii="helvetica neue" w:hAnsi="helvetica neue"/>
            <w:color w:val="#000"/>
            <w:u w:val="single"/>
            <w:vertAlign w:val="superscript"/>
          </w:rPr>
          <w:t xml:space="preserve">[91]</w:t>
        </w:r>
      </w:hyperlink>
    </w:p>
    <w:p>
      <w:pPr>
        <w:spacing w:line="360" w:before="315" w:after="105" w:lineRule="auto"/>
        <w:ind w:left="-30"/>
        <w:jc w:val="left"/>
      </w:pPr>
      <w:bookmarkStart w:id="164" w:name="governance"/>
      <w:r>
        <w:rPr>
          <w:rFonts w:eastAsia="georgia" w:cs="georgia" w:ascii="georgia" w:hAnsi="georgia"/>
          <w:b/>
          <w:color w:val="000000"/>
          <w:sz w:val="24"/>
        </w:rPr>
        <w:t xml:space="preserve">Governance</w:t>
      </w:r>
      <w:bookmarkEnd w:id="164"/>
    </w:p>
    <w:p>
      <w:pPr>
        <w:spacing w:line="360" w:after="210" w:lineRule="auto"/>
      </w:pPr>
      <w:r>
        <w:rPr>
          <w:rFonts w:eastAsia="georgia" w:cs="georgia" w:ascii="georgia" w:hAnsi="georgia"/>
          <w:color w:val="000000"/>
        </w:rPr>
        <w:t xml:space="preserve">La responsabilità dell'attuazione della presente policy è attribuita alla direzione aziendale con il supporto delle funzioni HR, IT, legale/privacy e, ove necessario, dei consulenti esterni. L'acquisto o l'adozione di strumenti di AI da parte di fornitori esterni è subordinato a verifica contrattuale, tecnica e organizzativa della conformità ai requisiti normativi applicabili</w:t>
      </w:r>
      <w:bookmarkStart w:id="165" w:name="fnref93_1"/>
      <w:bookmarkEnd w:id="165"/>
      <w:hyperlink w:anchor="fn93">
        <w:r>
          <w:rPr>
            <w:rFonts w:eastAsia="helvetica neue" w:cs="helvetica neue" w:ascii="helvetica neue" w:hAnsi="helvetica neue"/>
            <w:color w:val="#000"/>
            <w:u w:val="single"/>
            <w:vertAlign w:val="superscript"/>
          </w:rPr>
          <w:t xml:space="preserve">[93]</w:t>
        </w:r>
      </w:hyperlink>
      <w:bookmarkStart w:id="166" w:name="fnref95_1"/>
      <w:bookmarkEnd w:id="166"/>
      <w:hyperlink w:anchor="fn95">
        <w:r>
          <w:rPr>
            <w:rFonts w:eastAsia="helvetica neue" w:cs="helvetica neue" w:ascii="helvetica neue" w:hAnsi="helvetica neue"/>
            <w:color w:val="#000"/>
            <w:u w:val="single"/>
            <w:vertAlign w:val="superscript"/>
          </w:rPr>
          <w:t xml:space="preserve">[95]</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67" w:name="fn1"/>
    <w:bookmarkEnd w:id="167"/>
    <w:p>
      <w:pPr>
        <w:numPr>
          <w:ilvl w:val="0"/>
          <w:numId w:val="12"/>
        </w:numPr>
        <w:spacing w:line="360" w:after="210" w:lineRule="auto"/>
      </w:pPr>
      <w:hyperlink r:id="rId6">
        <w:r>
          <w:rPr>
            <w:rFonts w:eastAsia="helvetica neue" w:cs="helvetica neue" w:ascii="helvetica neue" w:hAnsi="helvetica neue"/>
            <w:color w:val="#000"/>
            <w:sz w:val="18"/>
            <w:u w:val="single"/>
          </w:rPr>
          <w:t xml:space="preserve">https://www.trevisancuonzo.com/en/2026/04/italy-and-the-eu-ai-act-a-double-layer-of-obligations/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8" w:name="fn2"/>
    <w:bookmarkEnd w:id="168"/>
    <w:p>
      <w:pPr>
        <w:numPr>
          <w:ilvl w:val="0"/>
          <w:numId w:val="12"/>
        </w:numPr>
        <w:spacing w:line="360" w:after="210" w:lineRule="auto"/>
      </w:pPr>
      <w:hyperlink r:id="rId7">
        <w:r>
          <w:rPr>
            <w:rFonts w:eastAsia="helvetica neue" w:cs="helvetica neue" w:ascii="helvetica neue" w:hAnsi="helvetica neue"/>
            <w:color w:val="#000"/>
            <w:sz w:val="18"/>
            <w:u w:val="single"/>
          </w:rPr>
          <w:t xml:space="preserve">https://www.klgates.com/AI-News-Italy-Sets-the-Rules-for-AI-in-the-Workplace-2-20-2026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9" w:name="fn3"/>
    <w:bookmarkEnd w:id="169"/>
    <w:p>
      <w:pPr>
        <w:numPr>
          <w:ilvl w:val="0"/>
          <w:numId w:val="12"/>
        </w:numPr>
        <w:spacing w:line="360" w:after="210" w:lineRule="auto"/>
      </w:pPr>
      <w:hyperlink r:id="rId8">
        <w:r>
          <w:rPr>
            <w:rFonts w:eastAsia="helvetica neue" w:cs="helvetica neue" w:ascii="helvetica neue" w:hAnsi="helvetica neue"/>
            <w:color w:val="#000"/>
            <w:sz w:val="18"/>
            <w:u w:val="single"/>
          </w:rPr>
          <w:t xml:space="preserve">https://industrialrelationsnews.ioe-emp.org/industrial-relations-and-labour-law-november-2025/news/article/italy-data-protection-authority-sets-limits-on-the-use-of-employees-messages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0" w:name="fn4"/>
    <w:bookmarkEnd w:id="170"/>
    <w:p>
      <w:pPr>
        <w:numPr>
          <w:ilvl w:val="0"/>
          <w:numId w:val="12"/>
        </w:numPr>
        <w:spacing w:line="360" w:after="210" w:lineRule="auto"/>
      </w:pPr>
      <w:hyperlink r:id="rId9">
        <w:r>
          <w:rPr>
            <w:rFonts w:eastAsia="helvetica neue" w:cs="helvetica neue" w:ascii="helvetica neue" w:hAnsi="helvetica neue"/>
            <w:color w:val="#000"/>
            <w:sz w:val="18"/>
            <w:u w:val="single"/>
          </w:rPr>
          <w:t xml:space="preserve">https://iris.unito.it/retrieve/1e9ee188-8cf1-48be-9d18-b1ca5e50ca5c/Gaudio &amp; Nogarede (2025) Worker Data Rights under the GDPR and beyond.pdf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1" w:name="fn5"/>
    <w:bookmarkEnd w:id="171"/>
    <w:p>
      <w:pPr>
        <w:numPr>
          <w:ilvl w:val="0"/>
          <w:numId w:val="12"/>
        </w:numPr>
        <w:spacing w:line="360" w:after="210" w:lineRule="auto"/>
      </w:pPr>
      <w:hyperlink r:id="rId10">
        <w:r>
          <w:rPr>
            <w:rFonts w:eastAsia="helvetica neue" w:cs="helvetica neue" w:ascii="helvetica neue" w:hAnsi="helvetica neue"/>
            <w:color w:val="#000"/>
            <w:sz w:val="18"/>
            <w:u w:val="single"/>
          </w:rPr>
          <w:t xml:space="preserve">https://www.etuc.org/en/pressrelease/growing-ai-surveillance-workers-likely-illegal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2" w:name="fn6"/>
    <w:bookmarkEnd w:id="172"/>
    <w:p>
      <w:pPr>
        <w:numPr>
          <w:ilvl w:val="0"/>
          <w:numId w:val="12"/>
        </w:numPr>
        <w:spacing w:line="360" w:after="210" w:lineRule="auto"/>
      </w:pPr>
      <w:hyperlink r:id="rId11">
        <w:r>
          <w:rPr>
            <w:rFonts w:eastAsia="helvetica neue" w:cs="helvetica neue" w:ascii="helvetica neue" w:hAnsi="helvetica neue"/>
            <w:color w:val="#000"/>
            <w:sz w:val="18"/>
            <w:u w:val="single"/>
          </w:rPr>
          <w:t xml:space="preserve">https://www.jonesday.com/en/insights/2025/10/italy-leads-the-way-in-shaping-national-ai-legislation-within-the-eu</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3" w:name="fn7"/>
    <w:bookmarkEnd w:id="173"/>
    <w:p>
      <w:pPr>
        <w:numPr>
          <w:ilvl w:val="0"/>
          <w:numId w:val="12"/>
        </w:numPr>
        <w:spacing w:line="360" w:after="210" w:lineRule="auto"/>
      </w:pPr>
      <w:hyperlink r:id="rId12">
        <w:r>
          <w:rPr>
            <w:rFonts w:eastAsia="helvetica neue" w:cs="helvetica neue" w:ascii="helvetica neue" w:hAnsi="helvetica neue"/>
            <w:color w:val="#000"/>
            <w:sz w:val="18"/>
            <w:u w:val="single"/>
          </w:rPr>
          <w:t xml:space="preserve">https://www.pglegal.it/uso-improprio-dellintelligenza-artificiale-negli-atti-giudiziari-responsabilita-del-professionista/</w:t>
        </w:r>
      </w:hyperlink>
      <w:r>
        <w:rPr>
          <w:rFonts w:eastAsia="georgia" w:cs="georgia" w:ascii="georgia" w:hAnsi="georgia"/>
          <w:color w:val="000000"/>
          <w:sz w:val="18"/>
        </w:rPr>
        <w:t xml:space="preserve"> </w:t>
      </w:r>
    </w:p>
    <w:bookmarkStart w:id="174" w:name="fn8"/>
    <w:bookmarkEnd w:id="174"/>
    <w:p>
      <w:pPr>
        <w:numPr>
          <w:ilvl w:val="0"/>
          <w:numId w:val="12"/>
        </w:numPr>
        <w:spacing w:line="360" w:after="210" w:lineRule="auto"/>
      </w:pPr>
      <w:hyperlink r:id="rId13">
        <w:r>
          <w:rPr>
            <w:rFonts w:eastAsia="helvetica neue" w:cs="helvetica neue" w:ascii="helvetica neue" w:hAnsi="helvetica neue"/>
            <w:color w:val="#000"/>
            <w:sz w:val="18"/>
            <w:u w:val="single"/>
          </w:rPr>
          <w:t xml:space="preserve">https://www.delucapartners.it/en/insights/employers-are-required-to-inform-workers-about-the-use-of-artificial-intelligence/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5" w:name="fn9"/>
    <w:bookmarkEnd w:id="175"/>
    <w:p>
      <w:pPr>
        <w:numPr>
          <w:ilvl w:val="0"/>
          <w:numId w:val="12"/>
        </w:numPr>
        <w:spacing w:line="360" w:after="210" w:lineRule="auto"/>
      </w:pPr>
      <w:hyperlink r:id="rId14">
        <w:r>
          <w:rPr>
            <w:rFonts w:eastAsia="helvetica neue" w:cs="helvetica neue" w:ascii="helvetica neue" w:hAnsi="helvetica neue"/>
            <w:color w:val="#000"/>
            <w:sz w:val="18"/>
            <w:u w:val="single"/>
          </w:rPr>
          <w:t xml:space="preserve">https://www.jdsupra.com/legalnews/ai-news-italy-sets-the-rules-for-ai-in-7550656/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6" w:name="fn10"/>
    <w:bookmarkEnd w:id="176"/>
    <w:p>
      <w:pPr>
        <w:numPr>
          <w:ilvl w:val="0"/>
          <w:numId w:val="12"/>
        </w:numPr>
        <w:spacing w:line="360" w:after="210" w:lineRule="auto"/>
      </w:pPr>
      <w:hyperlink r:id="rId15">
        <w:r>
          <w:rPr>
            <w:rFonts w:eastAsia="helvetica neue" w:cs="helvetica neue" w:ascii="helvetica neue" w:hAnsi="helvetica neue"/>
            <w:color w:val="#000"/>
            <w:sz w:val="18"/>
            <w:u w:val="single"/>
          </w:rPr>
          <w:t xml:space="preserve">https://partnershiponai.org/resource/how-an-italian-trade-union-won-ai-protections-for-call-center-workers/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7" w:name="fn11"/>
    <w:bookmarkEnd w:id="177"/>
    <w:p>
      <w:pPr>
        <w:numPr>
          <w:ilvl w:val="0"/>
          <w:numId w:val="12"/>
        </w:numPr>
        <w:spacing w:line="360" w:after="210" w:lineRule="auto"/>
      </w:pPr>
      <w:hyperlink r:id="rId16">
        <w:r>
          <w:rPr>
            <w:rFonts w:eastAsia="helvetica neue" w:cs="helvetica neue" w:ascii="helvetica neue" w:hAnsi="helvetica neue"/>
            <w:color w:val="#000"/>
            <w:sz w:val="18"/>
            <w:u w:val="single"/>
          </w:rPr>
          <w:t xml:space="preserve">https://it.andersen.com/en/the-new-italian-law-on-ai-practical-tips-to-comply-with-the-regulation/</w:t>
        </w:r>
      </w:hyperlink>
      <w:r>
        <w:rPr>
          <w:rFonts w:eastAsia="georgia" w:cs="georgia" w:ascii="georgia" w:hAnsi="georgia"/>
          <w:color w:val="000000"/>
          <w:sz w:val="18"/>
        </w:rPr>
        <w:t xml:space="preserve"> </w:t>
      </w:r>
    </w:p>
    <w:bookmarkStart w:id="178" w:name="fn12"/>
    <w:bookmarkEnd w:id="178"/>
    <w:p>
      <w:pPr>
        <w:numPr>
          <w:ilvl w:val="0"/>
          <w:numId w:val="12"/>
        </w:numPr>
        <w:spacing w:line="360" w:after="210" w:lineRule="auto"/>
      </w:pPr>
      <w:hyperlink r:id="rId17">
        <w:r>
          <w:rPr>
            <w:rFonts w:eastAsia="helvetica neue" w:cs="helvetica neue" w:ascii="helvetica neue" w:hAnsi="helvetica neue"/>
            <w:color w:val="#000"/>
            <w:sz w:val="18"/>
            <w:u w:val="single"/>
          </w:rPr>
          <w:t xml:space="preserve">https://it.linkedin.com/pulse/il-giudicato-esterno-nel-processo-del-lavoro-magnanelli-ebn7f</w:t>
        </w:r>
      </w:hyperlink>
      <w:r>
        <w:rPr>
          <w:rFonts w:eastAsia="georgia" w:cs="georgia" w:ascii="georgia" w:hAnsi="georgia"/>
          <w:color w:val="000000"/>
          <w:sz w:val="18"/>
        </w:rPr>
        <w:t xml:space="preserve"> </w:t>
      </w:r>
    </w:p>
    <w:bookmarkStart w:id="179" w:name="fn13"/>
    <w:bookmarkEnd w:id="179"/>
    <w:p>
      <w:pPr>
        <w:numPr>
          <w:ilvl w:val="0"/>
          <w:numId w:val="12"/>
        </w:numPr>
        <w:spacing w:line="360" w:after="210" w:lineRule="auto"/>
      </w:pPr>
      <w:hyperlink r:id="rId18">
        <w:r>
          <w:rPr>
            <w:rFonts w:eastAsia="helvetica neue" w:cs="helvetica neue" w:ascii="helvetica neue" w:hAnsi="helvetica neue"/>
            <w:color w:val="#000"/>
            <w:sz w:val="18"/>
            <w:u w:val="single"/>
          </w:rPr>
          <w:t xml:space="preserve">https://illej.unibo.it/article/view/20870</w:t>
        </w:r>
      </w:hyperlink>
      <w:r>
        <w:rPr>
          <w:rFonts w:eastAsia="georgia" w:cs="georgia" w:ascii="georgia" w:hAnsi="georgia"/>
          <w:color w:val="000000"/>
          <w:sz w:val="18"/>
        </w:rPr>
        <w:t xml:space="preserve"> </w:t>
      </w:r>
    </w:p>
    <w:bookmarkStart w:id="180" w:name="fn14"/>
    <w:bookmarkEnd w:id="180"/>
    <w:p>
      <w:pPr>
        <w:numPr>
          <w:ilvl w:val="0"/>
          <w:numId w:val="12"/>
        </w:numPr>
        <w:spacing w:line="360" w:after="210" w:lineRule="auto"/>
      </w:pPr>
      <w:hyperlink r:id="rId19">
        <w:r>
          <w:rPr>
            <w:rFonts w:eastAsia="helvetica neue" w:cs="helvetica neue" w:ascii="helvetica neue" w:hAnsi="helvetica neue"/>
            <w:color w:val="#000"/>
            <w:sz w:val="18"/>
            <w:u w:val="single"/>
          </w:rPr>
          <w:t xml:space="preserve">https://ntplusdiritto.ilsole24ore.com/art/ia-generativa-garante-privacy-ammonisce-provider-e-utenti-AIzJI7dB</w:t>
        </w:r>
      </w:hyperlink>
      <w:r>
        <w:rPr>
          <w:rFonts w:eastAsia="georgia" w:cs="georgia" w:ascii="georgia" w:hAnsi="georgia"/>
          <w:color w:val="000000"/>
          <w:sz w:val="18"/>
        </w:rPr>
        <w:t xml:space="preserve"> </w:t>
      </w:r>
    </w:p>
    <w:bookmarkStart w:id="181" w:name="fn15"/>
    <w:bookmarkEnd w:id="181"/>
    <w:p>
      <w:pPr>
        <w:numPr>
          <w:ilvl w:val="0"/>
          <w:numId w:val="12"/>
        </w:numPr>
        <w:spacing w:line="360" w:after="210" w:lineRule="auto"/>
      </w:pPr>
      <w:hyperlink r:id="rId20">
        <w:r>
          <w:rPr>
            <w:rFonts w:eastAsia="helvetica neue" w:cs="helvetica neue" w:ascii="helvetica neue" w:hAnsi="helvetica neue"/>
            <w:color w:val="#000"/>
            <w:sz w:val="18"/>
            <w:u w:val="single"/>
          </w:rPr>
          <w:t xml:space="preserve">https://consulentiprivacytorino.it/it/articoli/ai-e-privacy-dei-servizi-commerciali-verso-la-trasparenza-dellalgoritmo-sotto-il-controllo</w:t>
        </w:r>
      </w:hyperlink>
      <w:r>
        <w:rPr>
          <w:rFonts w:eastAsia="georgia" w:cs="georgia" w:ascii="georgia" w:hAnsi="georgia"/>
          <w:color w:val="000000"/>
          <w:sz w:val="18"/>
        </w:rPr>
        <w:t xml:space="preserve"> </w:t>
      </w:r>
    </w:p>
    <w:bookmarkStart w:id="182" w:name="fn16"/>
    <w:bookmarkEnd w:id="182"/>
    <w:p>
      <w:pPr>
        <w:numPr>
          <w:ilvl w:val="0"/>
          <w:numId w:val="12"/>
        </w:numPr>
        <w:spacing w:line="360" w:after="210" w:lineRule="auto"/>
      </w:pPr>
      <w:hyperlink r:id="rId21">
        <w:r>
          <w:rPr>
            <w:rFonts w:eastAsia="helvetica neue" w:cs="helvetica neue" w:ascii="helvetica neue" w:hAnsi="helvetica neue"/>
            <w:color w:val="#000"/>
            <w:sz w:val="18"/>
            <w:u w:val="single"/>
          </w:rPr>
          <w:t xml:space="preserve">https://www.judicium.it/il-nuovo-diritto-di-accesso-ai-dati-alla-luce-del-data-act-da-strumento-di-protezione-della-persona-a-leva-di-equilibrio-del-mercato/</w:t>
        </w:r>
      </w:hyperlink>
      <w:r>
        <w:rPr>
          <w:rFonts w:eastAsia="georgia" w:cs="georgia" w:ascii="georgia" w:hAnsi="georgia"/>
          <w:color w:val="000000"/>
          <w:sz w:val="18"/>
        </w:rPr>
        <w:t xml:space="preserve"> </w:t>
      </w:r>
    </w:p>
    <w:bookmarkStart w:id="183" w:name="fn17"/>
    <w:bookmarkEnd w:id="183"/>
    <w:p>
      <w:pPr>
        <w:numPr>
          <w:ilvl w:val="0"/>
          <w:numId w:val="12"/>
        </w:numPr>
        <w:spacing w:line="360" w:after="210" w:lineRule="auto"/>
      </w:pPr>
      <w:hyperlink r:id="rId22">
        <w:r>
          <w:rPr>
            <w:rFonts w:eastAsia="helvetica neue" w:cs="helvetica neue" w:ascii="helvetica neue" w:hAnsi="helvetica neue"/>
            <w:color w:val="#000"/>
            <w:sz w:val="18"/>
            <w:u w:val="single"/>
          </w:rPr>
          <w:t xml:space="preserve">https://tesi.luiss.it/38357/</w:t>
        </w:r>
      </w:hyperlink>
      <w:r>
        <w:rPr>
          <w:rFonts w:eastAsia="georgia" w:cs="georgia" w:ascii="georgia" w:hAnsi="georgia"/>
          <w:color w:val="000000"/>
          <w:sz w:val="18"/>
        </w:rPr>
        <w:t xml:space="preserve"> </w:t>
      </w:r>
    </w:p>
    <w:bookmarkStart w:id="184" w:name="fn18"/>
    <w:bookmarkEnd w:id="184"/>
    <w:p>
      <w:pPr>
        <w:numPr>
          <w:ilvl w:val="0"/>
          <w:numId w:val="12"/>
        </w:numPr>
        <w:spacing w:line="360" w:after="210" w:lineRule="auto"/>
      </w:pPr>
      <w:hyperlink r:id="rId23">
        <w:r>
          <w:rPr>
            <w:rFonts w:eastAsia="helvetica neue" w:cs="helvetica neue" w:ascii="helvetica neue" w:hAnsi="helvetica neue"/>
            <w:color w:val="#000"/>
            <w:sz w:val="18"/>
            <w:u w:val="single"/>
          </w:rPr>
          <w:t xml:space="preserve">https://www.rivistaitalianadiinformaticaediritto.it/index.php/RIID/article/download/308/244/644</w:t>
        </w:r>
      </w:hyperlink>
      <w:r>
        <w:rPr>
          <w:rFonts w:eastAsia="georgia" w:cs="georgia" w:ascii="georgia" w:hAnsi="georgia"/>
          <w:color w:val="000000"/>
          <w:sz w:val="18"/>
        </w:rPr>
        <w:t xml:space="preserve"> </w:t>
      </w:r>
    </w:p>
    <w:bookmarkStart w:id="185" w:name="fn19"/>
    <w:bookmarkEnd w:id="185"/>
    <w:p>
      <w:pPr>
        <w:numPr>
          <w:ilvl w:val="0"/>
          <w:numId w:val="12"/>
        </w:numPr>
        <w:spacing w:line="360" w:after="210" w:lineRule="auto"/>
      </w:pPr>
      <w:hyperlink r:id="rId24">
        <w:r>
          <w:rPr>
            <w:rFonts w:eastAsia="helvetica neue" w:cs="helvetica neue" w:ascii="helvetica neue" w:hAnsi="helvetica neue"/>
            <w:color w:val="#000"/>
            <w:sz w:val="18"/>
            <w:u w:val="single"/>
          </w:rPr>
          <w:t xml:space="preserve">https://www.studioclaudioscognamiglio.it/quali-sono-i-limiti-del-giudicato-della-sentenza-che-accerta-lillegittimita-del-licenziamento/</w:t>
        </w:r>
      </w:hyperlink>
      <w:r>
        <w:rPr>
          <w:rFonts w:eastAsia="georgia" w:cs="georgia" w:ascii="georgia" w:hAnsi="georgia"/>
          <w:color w:val="000000"/>
          <w:sz w:val="18"/>
        </w:rPr>
        <w:t xml:space="preserve"> </w:t>
      </w:r>
    </w:p>
    <w:bookmarkStart w:id="186" w:name="fn20"/>
    <w:bookmarkEnd w:id="186"/>
    <w:p>
      <w:pPr>
        <w:numPr>
          <w:ilvl w:val="0"/>
          <w:numId w:val="12"/>
        </w:numPr>
        <w:spacing w:line="360" w:after="210" w:lineRule="auto"/>
      </w:pPr>
      <w:hyperlink r:id="rId25">
        <w:r>
          <w:rPr>
            <w:rFonts w:eastAsia="helvetica neue" w:cs="helvetica neue" w:ascii="helvetica neue" w:hAnsi="helvetica neue"/>
            <w:color w:val="#000"/>
            <w:sz w:val="18"/>
            <w:u w:val="single"/>
          </w:rPr>
          <w:t xml:space="preserve">https://www.federprivacy.org/informazione/primo-piano/il-ruolo-per-i-sindacati-nell-assetto-della-privacy-nelle-aziende</w:t>
        </w:r>
      </w:hyperlink>
      <w:r>
        <w:rPr>
          <w:rFonts w:eastAsia="georgia" w:cs="georgia" w:ascii="georgia" w:hAnsi="georgia"/>
          <w:color w:val="000000"/>
          <w:sz w:val="18"/>
        </w:rPr>
        <w:t xml:space="preserve"> </w:t>
      </w:r>
    </w:p>
    <w:bookmarkStart w:id="187" w:name="fn21"/>
    <w:bookmarkEnd w:id="187"/>
    <w:p>
      <w:pPr>
        <w:numPr>
          <w:ilvl w:val="0"/>
          <w:numId w:val="12"/>
        </w:numPr>
        <w:spacing w:line="360" w:after="210" w:lineRule="auto"/>
      </w:pPr>
      <w:hyperlink r:id="rId26">
        <w:r>
          <w:rPr>
            <w:rFonts w:eastAsia="helvetica neue" w:cs="helvetica neue" w:ascii="helvetica neue" w:hAnsi="helvetica neue"/>
            <w:color w:val="#000"/>
            <w:sz w:val="18"/>
            <w:u w:val="single"/>
          </w:rPr>
          <w:t xml:space="preserve">https://www.medialaws.eu/consenso-intelligenza-artificiale-e-privacy-commento-a-corte-di-cassazione-sez-i-civ-25-05-2021-n-14381/</w:t>
        </w:r>
      </w:hyperlink>
      <w:r>
        <w:rPr>
          <w:rFonts w:eastAsia="georgia" w:cs="georgia" w:ascii="georgia" w:hAnsi="georgia"/>
          <w:color w:val="000000"/>
          <w:sz w:val="18"/>
        </w:rPr>
        <w:t xml:space="preserve"> </w:t>
      </w:r>
    </w:p>
    <w:bookmarkStart w:id="188" w:name="fn22"/>
    <w:bookmarkEnd w:id="188"/>
    <w:p>
      <w:pPr>
        <w:numPr>
          <w:ilvl w:val="0"/>
          <w:numId w:val="12"/>
        </w:numPr>
        <w:spacing w:line="360" w:after="210" w:lineRule="auto"/>
      </w:pPr>
      <w:hyperlink r:id="rId27">
        <w:r>
          <w:rPr>
            <w:rFonts w:eastAsia="helvetica neue" w:cs="helvetica neue" w:ascii="helvetica neue" w:hAnsi="helvetica neue"/>
            <w:color w:val="#000"/>
            <w:sz w:val="18"/>
            <w:u w:val="single"/>
          </w:rPr>
          <w:t xml:space="preserve">https://www.01privacy.it/it/news/Il-datore-di-lavoro-deve-informare-dipendenti-e-sindacati-sugli-strumenti-di-AI-che-utilizza/338</w:t>
        </w:r>
      </w:hyperlink>
      <w:r>
        <w:rPr>
          <w:rFonts w:eastAsia="georgia" w:cs="georgia" w:ascii="georgia" w:hAnsi="georgia"/>
          <w:color w:val="000000"/>
          <w:sz w:val="18"/>
        </w:rPr>
        <w:t xml:space="preserve"> </w:t>
      </w:r>
    </w:p>
    <w:bookmarkStart w:id="189" w:name="fn23"/>
    <w:bookmarkEnd w:id="189"/>
    <w:p>
      <w:pPr>
        <w:numPr>
          <w:ilvl w:val="0"/>
          <w:numId w:val="12"/>
        </w:numPr>
        <w:spacing w:line="360" w:after="210" w:lineRule="auto"/>
      </w:pPr>
      <w:hyperlink r:id="rId28">
        <w:r>
          <w:rPr>
            <w:rFonts w:eastAsia="helvetica neue" w:cs="helvetica neue" w:ascii="helvetica neue" w:hAnsi="helvetica neue"/>
            <w:color w:val="#000"/>
            <w:sz w:val="18"/>
            <w:u w:val="single"/>
          </w:rPr>
          <w:t xml:space="preserve">https://giurisapp.it/website/resources/tools/giurisolve-assistente-ai-casi-giuridici</w:t>
        </w:r>
      </w:hyperlink>
      <w:r>
        <w:rPr>
          <w:rFonts w:eastAsia="georgia" w:cs="georgia" w:ascii="georgia" w:hAnsi="georgia"/>
          <w:color w:val="000000"/>
          <w:sz w:val="18"/>
        </w:rPr>
        <w:t xml:space="preserve"> </w:t>
      </w:r>
    </w:p>
    <w:bookmarkStart w:id="190" w:name="fn24"/>
    <w:bookmarkEnd w:id="190"/>
    <w:p>
      <w:pPr>
        <w:numPr>
          <w:ilvl w:val="0"/>
          <w:numId w:val="12"/>
        </w:numPr>
        <w:spacing w:line="360" w:after="210" w:lineRule="auto"/>
      </w:pPr>
      <w:hyperlink r:id="rId29">
        <w:r>
          <w:rPr>
            <w:rFonts w:eastAsia="helvetica neue" w:cs="helvetica neue" w:ascii="helvetica neue" w:hAnsi="helvetica neue"/>
            <w:color w:val="#000"/>
            <w:sz w:val="18"/>
            <w:u w:val="single"/>
          </w:rPr>
          <w:t xml:space="preserve">https://www.garanteprivacy.it/home/docweb/-/docweb-display/docweb/9855742</w:t>
        </w:r>
      </w:hyperlink>
      <w:r>
        <w:rPr>
          <w:rFonts w:eastAsia="georgia" w:cs="georgia" w:ascii="georgia" w:hAnsi="georgia"/>
          <w:color w:val="000000"/>
          <w:sz w:val="18"/>
        </w:rPr>
        <w:t xml:space="preserve"> </w:t>
      </w:r>
    </w:p>
    <w:bookmarkStart w:id="191" w:name="fn25"/>
    <w:bookmarkEnd w:id="191"/>
    <w:p>
      <w:pPr>
        <w:numPr>
          <w:ilvl w:val="0"/>
          <w:numId w:val="12"/>
        </w:numPr>
        <w:spacing w:line="360" w:after="210" w:lineRule="auto"/>
      </w:pPr>
      <w:hyperlink r:id="rId30">
        <w:r>
          <w:rPr>
            <w:rFonts w:eastAsia="helvetica neue" w:cs="helvetica neue" w:ascii="helvetica neue" w:hAnsi="helvetica neue"/>
            <w:color w:val="#000"/>
            <w:sz w:val="18"/>
            <w:u w:val="single"/>
          </w:rPr>
          <w:t xml:space="preserve">https://www.lavorodirittieuropa.it/dottrina/principi-e-fonti/1898-diritto-del-lavoro-intelligenza-artificiale-e-prevedibilita-degli-esiti-giudiziali</w:t>
        </w:r>
      </w:hyperlink>
      <w:r>
        <w:rPr>
          <w:rFonts w:eastAsia="georgia" w:cs="georgia" w:ascii="georgia" w:hAnsi="georgia"/>
          <w:color w:val="000000"/>
          <w:sz w:val="18"/>
        </w:rPr>
        <w:t xml:space="preserve"> </w:t>
      </w:r>
    </w:p>
    <w:bookmarkStart w:id="192" w:name="fn26"/>
    <w:bookmarkEnd w:id="192"/>
    <w:p>
      <w:pPr>
        <w:numPr>
          <w:ilvl w:val="0"/>
          <w:numId w:val="12"/>
        </w:numPr>
        <w:spacing w:line="360" w:after="210" w:lineRule="auto"/>
      </w:pPr>
      <w:hyperlink r:id="rId31">
        <w:r>
          <w:rPr>
            <w:rFonts w:eastAsia="helvetica neue" w:cs="helvetica neue" w:ascii="helvetica neue" w:hAnsi="helvetica neue"/>
            <w:color w:val="#000"/>
            <w:sz w:val="18"/>
            <w:u w:val="single"/>
          </w:rPr>
          <w:t xml:space="preserve">https://www.astrid-online.it/static/upload/crud/crudeli_fed_14_25.pdf</w:t>
        </w:r>
      </w:hyperlink>
      <w:r>
        <w:rPr>
          <w:rFonts w:eastAsia="georgia" w:cs="georgia" w:ascii="georgia" w:hAnsi="georgia"/>
          <w:color w:val="000000"/>
          <w:sz w:val="18"/>
        </w:rPr>
        <w:t xml:space="preserve"> </w:t>
      </w:r>
    </w:p>
    <w:bookmarkStart w:id="193" w:name="fn27"/>
    <w:bookmarkEnd w:id="193"/>
    <w:p>
      <w:pPr>
        <w:numPr>
          <w:ilvl w:val="0"/>
          <w:numId w:val="12"/>
        </w:numPr>
        <w:spacing w:line="360" w:after="210" w:lineRule="auto"/>
      </w:pPr>
      <w:hyperlink r:id="rId32">
        <w:r>
          <w:rPr>
            <w:rFonts w:eastAsia="helvetica neue" w:cs="helvetica neue" w:ascii="helvetica neue" w:hAnsi="helvetica neue"/>
            <w:color w:val="#000"/>
            <w:sz w:val="18"/>
            <w:u w:val="single"/>
          </w:rPr>
          <w:t xml:space="preserve">https://eurocloud.org/news/article/national-ai-legislation-adopted-in-italy-a-first-look-at-privacy-implications/</w:t>
        </w:r>
      </w:hyperlink>
      <w:r>
        <w:rPr>
          <w:rFonts w:eastAsia="georgia" w:cs="georgia" w:ascii="georgia" w:hAnsi="georgia"/>
          <w:color w:val="000000"/>
          <w:sz w:val="18"/>
        </w:rPr>
        <w:t xml:space="preserve"> </w:t>
      </w:r>
    </w:p>
    <w:bookmarkStart w:id="194" w:name="fn28"/>
    <w:bookmarkEnd w:id="194"/>
    <w:p>
      <w:pPr>
        <w:numPr>
          <w:ilvl w:val="0"/>
          <w:numId w:val="12"/>
        </w:numPr>
        <w:spacing w:line="360" w:after="210" w:lineRule="auto"/>
      </w:pPr>
      <w:hyperlink r:id="rId33">
        <w:r>
          <w:rPr>
            <w:rFonts w:eastAsia="helvetica neue" w:cs="helvetica neue" w:ascii="helvetica neue" w:hAnsi="helvetica neue"/>
            <w:color w:val="#000"/>
            <w:sz w:val="18"/>
            <w:u w:val="single"/>
          </w:rPr>
          <w:t xml:space="preserve">https://www.julia-project.eu/database/legislation/267</w:t>
        </w:r>
      </w:hyperlink>
      <w:r>
        <w:rPr>
          <w:rFonts w:eastAsia="georgia" w:cs="georgia" w:ascii="georgia" w:hAnsi="georgia"/>
          <w:color w:val="000000"/>
          <w:sz w:val="18"/>
        </w:rPr>
        <w:t xml:space="preserve"> </w:t>
      </w:r>
    </w:p>
    <w:bookmarkStart w:id="195" w:name="fn29"/>
    <w:bookmarkEnd w:id="195"/>
    <w:p>
      <w:pPr>
        <w:numPr>
          <w:ilvl w:val="0"/>
          <w:numId w:val="12"/>
        </w:numPr>
        <w:spacing w:line="360" w:after="210" w:lineRule="auto"/>
      </w:pPr>
      <w:hyperlink r:id="rId34">
        <w:r>
          <w:rPr>
            <w:rFonts w:eastAsia="helvetica neue" w:cs="helvetica neue" w:ascii="helvetica neue" w:hAnsi="helvetica neue"/>
            <w:color w:val="#000"/>
            <w:sz w:val="18"/>
            <w:u w:val="single"/>
          </w:rPr>
          <w:t xml:space="preserve">https://knowledge.dlapiper.com/dlapiperknowledge/globalemploymentlatestdevelopments/2025/italian-senate-approves-new-law-on-ai-in-the-workplace</w:t>
        </w:r>
      </w:hyperlink>
      <w:r>
        <w:rPr>
          <w:rFonts w:eastAsia="georgia" w:cs="georgia" w:ascii="georgia" w:hAnsi="georgia"/>
          <w:color w:val="000000"/>
          <w:sz w:val="18"/>
        </w:rPr>
        <w:t xml:space="preserve"> </w:t>
      </w:r>
    </w:p>
    <w:bookmarkStart w:id="196" w:name="fn30"/>
    <w:bookmarkEnd w:id="196"/>
    <w:p>
      <w:pPr>
        <w:numPr>
          <w:ilvl w:val="0"/>
          <w:numId w:val="12"/>
        </w:numPr>
        <w:spacing w:line="360" w:after="210" w:lineRule="auto"/>
      </w:pPr>
      <w:hyperlink r:id="rId35">
        <w:r>
          <w:rPr>
            <w:rFonts w:eastAsia="helvetica neue" w:cs="helvetica neue" w:ascii="helvetica neue" w:hAnsi="helvetica neue"/>
            <w:color w:val="#000"/>
            <w:sz w:val="18"/>
            <w:u w:val="single"/>
          </w:rPr>
          <w:t xml:space="preserve">https://securiti.ai/italy-ai-law-guide/</w:t>
        </w:r>
      </w:hyperlink>
      <w:r>
        <w:rPr>
          <w:rFonts w:eastAsia="georgia" w:cs="georgia" w:ascii="georgia" w:hAnsi="georgia"/>
          <w:color w:val="000000"/>
          <w:sz w:val="18"/>
        </w:rPr>
        <w:t xml:space="preserve"> </w:t>
      </w:r>
    </w:p>
    <w:bookmarkStart w:id="197" w:name="fn31"/>
    <w:bookmarkEnd w:id="197"/>
    <w:p>
      <w:pPr>
        <w:numPr>
          <w:ilvl w:val="0"/>
          <w:numId w:val="12"/>
        </w:numPr>
        <w:spacing w:line="360" w:after="210" w:lineRule="auto"/>
      </w:pPr>
      <w:hyperlink r:id="rId36">
        <w:r>
          <w:rPr>
            <w:rFonts w:eastAsia="helvetica neue" w:cs="helvetica neue" w:ascii="helvetica neue" w:hAnsi="helvetica neue"/>
            <w:color w:val="#000"/>
            <w:sz w:val="18"/>
            <w:u w:val="single"/>
          </w:rPr>
          <w:t xml:space="preserve">https://www.hoganlovells.com/en/publications/copyright-provisions-in-the-new-italian-ailaw-reinforcing-human-authorship-and-text-and-data-mining</w:t>
        </w:r>
      </w:hyperlink>
      <w:r>
        <w:rPr>
          <w:rFonts w:eastAsia="georgia" w:cs="georgia" w:ascii="georgia" w:hAnsi="georgia"/>
          <w:color w:val="000000"/>
          <w:sz w:val="18"/>
        </w:rPr>
        <w:t xml:space="preserve"> </w:t>
      </w:r>
    </w:p>
    <w:bookmarkStart w:id="198" w:name="fn32"/>
    <w:bookmarkEnd w:id="198"/>
    <w:p>
      <w:pPr>
        <w:numPr>
          <w:ilvl w:val="0"/>
          <w:numId w:val="12"/>
        </w:numPr>
        <w:spacing w:line="360" w:after="210" w:lineRule="auto"/>
      </w:pPr>
      <w:hyperlink r:id="rId37">
        <w:r>
          <w:rPr>
            <w:rFonts w:eastAsia="helvetica neue" w:cs="helvetica neue" w:ascii="helvetica neue" w:hAnsi="helvetica neue"/>
            <w:color w:val="#000"/>
            <w:sz w:val="18"/>
            <w:u w:val="single"/>
          </w:rPr>
          <w:t xml:space="preserve">https://www.europarl.europa.eu/RegData/etudes/STUD/2025/774670/EPRS_STU(2025)774670_EN.pdf</w:t>
        </w:r>
      </w:hyperlink>
      <w:r>
        <w:rPr>
          <w:rFonts w:eastAsia="georgia" w:cs="georgia" w:ascii="georgia" w:hAnsi="georgia"/>
          <w:color w:val="000000"/>
          <w:sz w:val="18"/>
        </w:rPr>
        <w:t xml:space="preserve"> </w:t>
      </w:r>
    </w:p>
    <w:bookmarkStart w:id="199" w:name="fn33"/>
    <w:bookmarkEnd w:id="199"/>
    <w:p>
      <w:pPr>
        <w:numPr>
          <w:ilvl w:val="0"/>
          <w:numId w:val="12"/>
        </w:numPr>
        <w:spacing w:line="360" w:after="210" w:lineRule="auto"/>
      </w:pPr>
      <w:hyperlink r:id="rId38">
        <w:r>
          <w:rPr>
            <w:rFonts w:eastAsia="helvetica neue" w:cs="helvetica neue" w:ascii="helvetica neue" w:hAnsi="helvetica neue"/>
            <w:color w:val="#000"/>
            <w:sz w:val="18"/>
            <w:u w:val="single"/>
          </w:rPr>
          <w:t xml:space="preserve">https://portolano.it/en/newsletter/portolano-cavallo-inform-digital-ip/the-new-italian-ai-law-an-overview-new-developments-and-considerations</w:t>
        </w:r>
      </w:hyperlink>
      <w:r>
        <w:rPr>
          <w:rFonts w:eastAsia="georgia" w:cs="georgia" w:ascii="georgia" w:hAnsi="georgia"/>
          <w:color w:val="000000"/>
          <w:sz w:val="18"/>
        </w:rPr>
        <w:t xml:space="preserve"> </w:t>
      </w:r>
    </w:p>
    <w:bookmarkStart w:id="200" w:name="fn34"/>
    <w:bookmarkEnd w:id="200"/>
    <w:p>
      <w:pPr>
        <w:numPr>
          <w:ilvl w:val="0"/>
          <w:numId w:val="12"/>
        </w:numPr>
        <w:spacing w:line="360" w:after="210" w:lineRule="auto"/>
      </w:pPr>
      <w:hyperlink r:id="rId39">
        <w:r>
          <w:rPr>
            <w:rFonts w:eastAsia="helvetica neue" w:cs="helvetica neue" w:ascii="helvetica neue" w:hAnsi="helvetica neue"/>
            <w:color w:val="#000"/>
            <w:sz w:val="18"/>
            <w:u w:val="single"/>
          </w:rPr>
          <w:t xml:space="preserve">https://www.delucapartners.it/en/pillar/labour-law-and-artificial-intelligence-risks-and-compliance/</w:t>
        </w:r>
      </w:hyperlink>
      <w:r>
        <w:rPr>
          <w:rFonts w:eastAsia="georgia" w:cs="georgia" w:ascii="georgia" w:hAnsi="georgia"/>
          <w:color w:val="000000"/>
          <w:sz w:val="18"/>
        </w:rPr>
        <w:t xml:space="preserve"> </w:t>
      </w:r>
    </w:p>
    <w:bookmarkStart w:id="201" w:name="fn35"/>
    <w:bookmarkEnd w:id="201"/>
    <w:p>
      <w:pPr>
        <w:numPr>
          <w:ilvl w:val="0"/>
          <w:numId w:val="12"/>
        </w:numPr>
        <w:spacing w:line="360" w:after="210" w:lineRule="auto"/>
      </w:pPr>
      <w:hyperlink r:id="rId40">
        <w:r>
          <w:rPr>
            <w:rFonts w:eastAsia="helvetica neue" w:cs="helvetica neue" w:ascii="helvetica neue" w:hAnsi="helvetica neue"/>
            <w:color w:val="#000"/>
            <w:sz w:val="18"/>
            <w:u w:val="single"/>
          </w:rPr>
          <w:t xml:space="preserve">https://leglobal.law/countries/italy/looking-ahead-2025-italy/</w:t>
        </w:r>
      </w:hyperlink>
      <w:r>
        <w:rPr>
          <w:rFonts w:eastAsia="georgia" w:cs="georgia" w:ascii="georgia" w:hAnsi="georgia"/>
          <w:color w:val="000000"/>
          <w:sz w:val="18"/>
        </w:rPr>
        <w:t xml:space="preserve"> </w:t>
      </w:r>
    </w:p>
    <w:bookmarkStart w:id="202" w:name="fn36"/>
    <w:bookmarkEnd w:id="202"/>
    <w:p>
      <w:pPr>
        <w:numPr>
          <w:ilvl w:val="0"/>
          <w:numId w:val="12"/>
        </w:numPr>
        <w:spacing w:line="360" w:after="210" w:lineRule="auto"/>
      </w:pPr>
      <w:hyperlink r:id="rId41">
        <w:r>
          <w:rPr>
            <w:rFonts w:eastAsia="helvetica neue" w:cs="helvetica neue" w:ascii="helvetica neue" w:hAnsi="helvetica neue"/>
            <w:color w:val="#000"/>
            <w:sz w:val="18"/>
            <w:u w:val="single"/>
          </w:rPr>
          <w:t xml:space="preserve">https://www.freshfields.com/en/our-thinking/blogs/technology-quotient/eu-ai-act-unpacked-29-italy-moves-on-ai-above-and-beyond-the-eu-ai-act-102l6qr</w:t>
        </w:r>
      </w:hyperlink>
      <w:r>
        <w:rPr>
          <w:rFonts w:eastAsia="georgia" w:cs="georgia" w:ascii="georgia" w:hAnsi="georgia"/>
          <w:color w:val="000000"/>
          <w:sz w:val="18"/>
        </w:rPr>
        <w:t xml:space="preserve"> </w:t>
      </w:r>
    </w:p>
    <w:bookmarkStart w:id="203" w:name="fn37"/>
    <w:bookmarkEnd w:id="203"/>
    <w:p>
      <w:pPr>
        <w:numPr>
          <w:ilvl w:val="0"/>
          <w:numId w:val="12"/>
        </w:numPr>
        <w:spacing w:line="360" w:after="210" w:lineRule="auto"/>
      </w:pPr>
      <w:hyperlink r:id="rId42">
        <w:r>
          <w:rPr>
            <w:rFonts w:eastAsia="helvetica neue" w:cs="helvetica neue" w:ascii="helvetica neue" w:hAnsi="helvetica neue"/>
            <w:color w:val="#000"/>
            <w:sz w:val="18"/>
            <w:u w:val="single"/>
          </w:rPr>
          <w:t xml:space="preserve">https://cdn.digitaleurope.org/uploads/2025/10/DIGITALEUROPE-AI-in-the-workplace-recommendations-October-2025.pdf</w:t>
        </w:r>
      </w:hyperlink>
      <w:r>
        <w:rPr>
          <w:rFonts w:eastAsia="georgia" w:cs="georgia" w:ascii="georgia" w:hAnsi="georgia"/>
          <w:color w:val="000000"/>
          <w:sz w:val="18"/>
        </w:rPr>
        <w:t xml:space="preserve"> </w:t>
      </w:r>
    </w:p>
    <w:bookmarkStart w:id="204" w:name="fn38"/>
    <w:bookmarkEnd w:id="204"/>
    <w:p>
      <w:pPr>
        <w:numPr>
          <w:ilvl w:val="0"/>
          <w:numId w:val="12"/>
        </w:numPr>
        <w:spacing w:line="360" w:after="210" w:lineRule="auto"/>
      </w:pPr>
      <w:hyperlink r:id="rId43">
        <w:r>
          <w:rPr>
            <w:rFonts w:eastAsia="helvetica neue" w:cs="helvetica neue" w:ascii="helvetica neue" w:hAnsi="helvetica neue"/>
            <w:color w:val="#000"/>
            <w:sz w:val="18"/>
            <w:u w:val="single"/>
          </w:rPr>
          <w:t xml:space="preserve">https://iclr.net/news/italian-senate-approves-new-law-on-artificial-intelligence-in-the-workplace/</w:t>
        </w:r>
      </w:hyperlink>
      <w:r>
        <w:rPr>
          <w:rFonts w:eastAsia="georgia" w:cs="georgia" w:ascii="georgia" w:hAnsi="georgia"/>
          <w:color w:val="000000"/>
          <w:sz w:val="18"/>
        </w:rPr>
        <w:t xml:space="preserve"> </w:t>
      </w:r>
    </w:p>
    <w:bookmarkStart w:id="205" w:name="fn39"/>
    <w:bookmarkEnd w:id="205"/>
    <w:p>
      <w:pPr>
        <w:numPr>
          <w:ilvl w:val="0"/>
          <w:numId w:val="12"/>
        </w:numPr>
        <w:spacing w:line="360" w:after="210" w:lineRule="auto"/>
      </w:pPr>
      <w:hyperlink r:id="rId44">
        <w:r>
          <w:rPr>
            <w:rFonts w:eastAsia="helvetica neue" w:cs="helvetica neue" w:ascii="helvetica neue" w:hAnsi="helvetica neue"/>
            <w:color w:val="#000"/>
            <w:sz w:val="18"/>
            <w:u w:val="single"/>
          </w:rPr>
          <w:t xml:space="preserve">https://www.sib.it/en/flash-news/new-italian-law-on-ai-takes-effect-on-10-october-2025/</w:t>
        </w:r>
      </w:hyperlink>
      <w:r>
        <w:rPr>
          <w:rFonts w:eastAsia="georgia" w:cs="georgia" w:ascii="georgia" w:hAnsi="georgia"/>
          <w:color w:val="000000"/>
          <w:sz w:val="18"/>
        </w:rPr>
        <w:t xml:space="preserve"> </w:t>
      </w:r>
    </w:p>
    <w:bookmarkStart w:id="206" w:name="fn40"/>
    <w:bookmarkEnd w:id="206"/>
    <w:p>
      <w:pPr>
        <w:numPr>
          <w:ilvl w:val="0"/>
          <w:numId w:val="12"/>
        </w:numPr>
        <w:spacing w:line="360" w:after="210" w:lineRule="auto"/>
      </w:pPr>
      <w:hyperlink r:id="rId45">
        <w:r>
          <w:rPr>
            <w:rFonts w:eastAsia="helvetica neue" w:cs="helvetica neue" w:ascii="helvetica neue" w:hAnsi="helvetica neue"/>
            <w:color w:val="#000"/>
            <w:sz w:val="18"/>
            <w:u w:val="single"/>
          </w:rPr>
          <w:t xml:space="preserve">https://www.klgates.com/Laws-Guidance-and-Recommendations-What-to-Consider-When-Using-AI-to-Hire-Employees-in-Italy-10-1-2024</w:t>
        </w:r>
      </w:hyperlink>
      <w:r>
        <w:rPr>
          <w:rFonts w:eastAsia="georgia" w:cs="georgia" w:ascii="georgia" w:hAnsi="georgia"/>
          <w:color w:val="000000"/>
          <w:sz w:val="18"/>
        </w:rPr>
        <w:t xml:space="preserve"> </w:t>
      </w:r>
    </w:p>
    <w:bookmarkStart w:id="207" w:name="fn41"/>
    <w:bookmarkEnd w:id="207"/>
    <w:p>
      <w:pPr>
        <w:numPr>
          <w:ilvl w:val="0"/>
          <w:numId w:val="12"/>
        </w:numPr>
        <w:spacing w:line="360" w:after="210" w:lineRule="auto"/>
      </w:pPr>
      <w:hyperlink r:id="rId46">
        <w:r>
          <w:rPr>
            <w:rFonts w:eastAsia="helvetica neue" w:cs="helvetica neue" w:ascii="helvetica neue" w:hAnsi="helvetica neue"/>
            <w:color w:val="#000"/>
            <w:sz w:val="18"/>
            <w:u w:val="single"/>
          </w:rPr>
          <w:t xml:space="preserve">https://www.squirepattonboggs.com/insights/publications/italian-law-no-132-2025-the-first-domestic-law-in-the-european-union-on-the-use-of-artificial-intelligence/</w:t>
        </w:r>
      </w:hyperlink>
      <w:r>
        <w:rPr>
          <w:rFonts w:eastAsia="georgia" w:cs="georgia" w:ascii="georgia" w:hAnsi="georgia"/>
          <w:color w:val="000000"/>
          <w:sz w:val="18"/>
        </w:rPr>
        <w:t xml:space="preserve"> </w:t>
      </w:r>
    </w:p>
    <w:bookmarkStart w:id="208" w:name="fn42"/>
    <w:bookmarkEnd w:id="208"/>
    <w:p>
      <w:pPr>
        <w:numPr>
          <w:ilvl w:val="0"/>
          <w:numId w:val="12"/>
        </w:numPr>
        <w:spacing w:line="360" w:after="210" w:lineRule="auto"/>
      </w:pPr>
      <w:hyperlink r:id="rId47">
        <w:r>
          <w:rPr>
            <w:rFonts w:eastAsia="helvetica neue" w:cs="helvetica neue" w:ascii="helvetica neue" w:hAnsi="helvetica neue"/>
            <w:color w:val="#000"/>
            <w:sz w:val="18"/>
            <w:u w:val="single"/>
          </w:rPr>
          <w:t xml:space="preserve">https://www.garanteprivacy.it/home/docweb/-/docweb-display/docweb/10132048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9" w:name="fn43"/>
    <w:bookmarkEnd w:id="209"/>
    <w:p>
      <w:pPr>
        <w:numPr>
          <w:ilvl w:val="0"/>
          <w:numId w:val="12"/>
        </w:numPr>
        <w:spacing w:line="360" w:after="210" w:lineRule="auto"/>
      </w:pPr>
      <w:hyperlink r:id="rId48">
        <w:r>
          <w:rPr>
            <w:rFonts w:eastAsia="helvetica neue" w:cs="helvetica neue" w:ascii="helvetica neue" w:hAnsi="helvetica neue"/>
            <w:color w:val="#000"/>
            <w:sz w:val="18"/>
            <w:u w:val="single"/>
          </w:rPr>
          <w:t xml:space="preserve">https://www.trevisancuonzo.com/en/2026/04/italy-and-the-eu-ai-act-a-double-layer-of-obligations/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0" w:name="fn44"/>
    <w:bookmarkEnd w:id="210"/>
    <w:p>
      <w:pPr>
        <w:numPr>
          <w:ilvl w:val="0"/>
          <w:numId w:val="12"/>
        </w:numPr>
        <w:spacing w:line="360" w:after="210" w:lineRule="auto"/>
      </w:pPr>
      <w:hyperlink r:id="rId49">
        <w:r>
          <w:rPr>
            <w:rFonts w:eastAsia="helvetica neue" w:cs="helvetica neue" w:ascii="helvetica neue" w:hAnsi="helvetica neue"/>
            <w:color w:val="#000"/>
            <w:sz w:val="18"/>
            <w:u w:val="single"/>
          </w:rPr>
          <w:t xml:space="preserve">https://www.klgates.com/AI-News-Italy-Sets-the-Rules-for-AI-in-the-Workplace-2-20-2026</w:t>
        </w:r>
      </w:hyperlink>
      <w:r>
        <w:rPr>
          <w:rFonts w:eastAsia="georgia" w:cs="georgia" w:ascii="georgia" w:hAnsi="georgia"/>
          <w:color w:val="000000"/>
          <w:sz w:val="18"/>
        </w:rPr>
        <w:t xml:space="preserve"> </w:t>
      </w:r>
    </w:p>
    <w:bookmarkStart w:id="211" w:name="fn45"/>
    <w:bookmarkEnd w:id="211"/>
    <w:p>
      <w:pPr>
        <w:numPr>
          <w:ilvl w:val="0"/>
          <w:numId w:val="12"/>
        </w:numPr>
        <w:spacing w:line="360" w:after="210" w:lineRule="auto"/>
      </w:pPr>
      <w:hyperlink r:id="rId50">
        <w:r>
          <w:rPr>
            <w:rFonts w:eastAsia="helvetica neue" w:cs="helvetica neue" w:ascii="helvetica neue" w:hAnsi="helvetica neue"/>
            <w:color w:val="#000"/>
            <w:sz w:val="18"/>
            <w:u w:val="single"/>
          </w:rPr>
          <w:t xml:space="preserve">https://www.garanteprivacy.it/home/docweb/-/docweb-display/docweb/1147405</w:t>
        </w:r>
      </w:hyperlink>
      <w:r>
        <w:rPr>
          <w:rFonts w:eastAsia="georgia" w:cs="georgia" w:ascii="georgia" w:hAnsi="georgia"/>
          <w:color w:val="000000"/>
          <w:sz w:val="18"/>
        </w:rPr>
        <w:t xml:space="preserve"> </w:t>
      </w:r>
    </w:p>
    <w:bookmarkStart w:id="212" w:name="fn46"/>
    <w:bookmarkEnd w:id="212"/>
    <w:p>
      <w:pPr>
        <w:numPr>
          <w:ilvl w:val="0"/>
          <w:numId w:val="12"/>
        </w:numPr>
        <w:spacing w:line="360" w:after="210" w:lineRule="auto"/>
      </w:pPr>
      <w:hyperlink r:id="rId51">
        <w:r>
          <w:rPr>
            <w:rFonts w:eastAsia="helvetica neue" w:cs="helvetica neue" w:ascii="helvetica neue" w:hAnsi="helvetica neue"/>
            <w:color w:val="#000"/>
            <w:sz w:val="18"/>
            <w:u w:val="single"/>
          </w:rPr>
          <w:t xml:space="preserve">https://www.dlapiper.com/it-it/insights/publications/innovation-law-insights/2024/innovation-law-insights-6-febbraio-2024</w:t>
        </w:r>
      </w:hyperlink>
      <w:r>
        <w:rPr>
          <w:rFonts w:eastAsia="georgia" w:cs="georgia" w:ascii="georgia" w:hAnsi="georgia"/>
          <w:color w:val="000000"/>
          <w:sz w:val="18"/>
        </w:rPr>
        <w:t xml:space="preserve"> </w:t>
      </w:r>
    </w:p>
    <w:bookmarkStart w:id="213" w:name="fn47"/>
    <w:bookmarkEnd w:id="213"/>
    <w:p>
      <w:pPr>
        <w:numPr>
          <w:ilvl w:val="0"/>
          <w:numId w:val="12"/>
        </w:numPr>
        <w:spacing w:line="360" w:after="210" w:lineRule="auto"/>
      </w:pPr>
      <w:hyperlink r:id="rId52">
        <w:r>
          <w:rPr>
            <w:rFonts w:eastAsia="helvetica neue" w:cs="helvetica neue" w:ascii="helvetica neue" w:hAnsi="helvetica neue"/>
            <w:color w:val="#000"/>
            <w:sz w:val="18"/>
            <w:u w:val="single"/>
          </w:rPr>
          <w:t xml:space="preserve">https://dirittoaldigitale.com/2022/11/11/sanzione-privacy-protocollo-sicurezza-crittografato-https/</w:t>
        </w:r>
      </w:hyperlink>
      <w:r>
        <w:rPr>
          <w:rFonts w:eastAsia="georgia" w:cs="georgia" w:ascii="georgia" w:hAnsi="georgia"/>
          <w:color w:val="000000"/>
          <w:sz w:val="18"/>
        </w:rPr>
        <w:t xml:space="preserve"> </w:t>
      </w:r>
    </w:p>
    <w:bookmarkStart w:id="214" w:name="fn48"/>
    <w:bookmarkEnd w:id="214"/>
    <w:p>
      <w:pPr>
        <w:numPr>
          <w:ilvl w:val="0"/>
          <w:numId w:val="12"/>
        </w:numPr>
        <w:spacing w:line="360" w:after="210" w:lineRule="auto"/>
      </w:pPr>
      <w:hyperlink r:id="rId53">
        <w:r>
          <w:rPr>
            <w:rFonts w:eastAsia="helvetica neue" w:cs="helvetica neue" w:ascii="helvetica neue" w:hAnsi="helvetica neue"/>
            <w:color w:val="#000"/>
            <w:sz w:val="18"/>
            <w:u w:val="single"/>
          </w:rPr>
          <w:t xml:space="preserve">https://www.instagram.com/p/DVyr__5iFFN/</w:t>
        </w:r>
      </w:hyperlink>
      <w:r>
        <w:rPr>
          <w:rFonts w:eastAsia="georgia" w:cs="georgia" w:ascii="georgia" w:hAnsi="georgia"/>
          <w:color w:val="000000"/>
          <w:sz w:val="18"/>
        </w:rPr>
        <w:t xml:space="preserve"> </w:t>
      </w:r>
    </w:p>
    <w:bookmarkStart w:id="215" w:name="fn49"/>
    <w:bookmarkEnd w:id="215"/>
    <w:p>
      <w:pPr>
        <w:numPr>
          <w:ilvl w:val="0"/>
          <w:numId w:val="12"/>
        </w:numPr>
        <w:spacing w:line="360" w:after="210" w:lineRule="auto"/>
      </w:pPr>
      <w:hyperlink r:id="rId54">
        <w:r>
          <w:rPr>
            <w:rFonts w:eastAsia="helvetica neue" w:cs="helvetica neue" w:ascii="helvetica neue" w:hAnsi="helvetica neue"/>
            <w:color w:val="#000"/>
            <w:sz w:val="18"/>
            <w:u w:val="single"/>
          </w:rPr>
          <w:t xml:space="preserve">https://www.garanteprivacy.it/home/docweb/-/docweb-display/docweb/10167804</w:t>
        </w:r>
      </w:hyperlink>
      <w:r>
        <w:rPr>
          <w:rFonts w:eastAsia="georgia" w:cs="georgia" w:ascii="georgia" w:hAnsi="georgia"/>
          <w:color w:val="000000"/>
          <w:sz w:val="18"/>
        </w:rPr>
        <w:t xml:space="preserve"> </w:t>
      </w:r>
    </w:p>
    <w:bookmarkStart w:id="216" w:name="fn50"/>
    <w:bookmarkEnd w:id="216"/>
    <w:p>
      <w:pPr>
        <w:numPr>
          <w:ilvl w:val="0"/>
          <w:numId w:val="12"/>
        </w:numPr>
        <w:spacing w:line="360" w:after="210" w:lineRule="auto"/>
      </w:pPr>
      <w:hyperlink r:id="rId55">
        <w:r>
          <w:rPr>
            <w:rFonts w:eastAsia="helvetica neue" w:cs="helvetica neue" w:ascii="helvetica neue" w:hAnsi="helvetica neue"/>
            <w:color w:val="#000"/>
            <w:sz w:val="18"/>
            <w:u w:val="single"/>
          </w:rPr>
          <w:t xml:space="preserve">https://www.studiolegalestefanelli.it/it/approfondimenti/sanzione-oppure-no-la-cassazione-chiarisce-i-termini-del-garante-privacy/</w:t>
        </w:r>
      </w:hyperlink>
      <w:r>
        <w:rPr>
          <w:rFonts w:eastAsia="georgia" w:cs="georgia" w:ascii="georgia" w:hAnsi="georgia"/>
          <w:color w:val="000000"/>
          <w:sz w:val="18"/>
        </w:rPr>
        <w:t xml:space="preserve"> </w:t>
      </w:r>
    </w:p>
    <w:bookmarkStart w:id="217" w:name="fn51"/>
    <w:bookmarkEnd w:id="217"/>
    <w:p>
      <w:pPr>
        <w:numPr>
          <w:ilvl w:val="0"/>
          <w:numId w:val="12"/>
        </w:numPr>
        <w:spacing w:line="360" w:after="210" w:lineRule="auto"/>
      </w:pPr>
      <w:hyperlink r:id="rId56">
        <w:r>
          <w:rPr>
            <w:rFonts w:eastAsia="helvetica neue" w:cs="helvetica neue" w:ascii="helvetica neue" w:hAnsi="helvetica neue"/>
            <w:color w:val="#000"/>
            <w:sz w:val="18"/>
            <w:u w:val="single"/>
          </w:rPr>
          <w:t xml:space="preserve">https://citynext.it/2026/05/04/la-cina-frena-i-licenziamenti-causati-dallai-tribunale-di-hangzhou-boccia-unazienda-che-aveva-sostituito-un-manager-con-lintelligenza-artificiale/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8" w:name="fn52"/>
    <w:bookmarkEnd w:id="218"/>
    <w:p>
      <w:pPr>
        <w:numPr>
          <w:ilvl w:val="0"/>
          <w:numId w:val="12"/>
        </w:numPr>
        <w:spacing w:line="360" w:after="210" w:lineRule="auto"/>
      </w:pPr>
      <w:hyperlink r:id="rId57">
        <w:r>
          <w:rPr>
            <w:rFonts w:eastAsia="helvetica neue" w:cs="helvetica neue" w:ascii="helvetica neue" w:hAnsi="helvetica neue"/>
            <w:color w:val="#000"/>
            <w:sz w:val="18"/>
            <w:u w:val="single"/>
          </w:rPr>
          <w:t xml:space="preserve">https://www.rivistastudio.com/cina-sentenza-intelligenza-artificiale-lavoro/</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9" w:name="fn53"/>
    <w:bookmarkEnd w:id="219"/>
    <w:p>
      <w:pPr>
        <w:numPr>
          <w:ilvl w:val="0"/>
          <w:numId w:val="12"/>
        </w:numPr>
        <w:spacing w:line="360" w:after="210" w:lineRule="auto"/>
      </w:pPr>
      <w:hyperlink r:id="rId58">
        <w:r>
          <w:rPr>
            <w:rFonts w:eastAsia="helvetica neue" w:cs="helvetica neue" w:ascii="helvetica neue" w:hAnsi="helvetica neue"/>
            <w:color w:val="#000"/>
            <w:sz w:val="18"/>
            <w:u w:val="single"/>
          </w:rPr>
          <w:t xml:space="preserve">https://magia.news/tribunale-cinese-vieta-licenziamenti-giustificati-ia/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0" w:name="fn54"/>
    <w:bookmarkEnd w:id="220"/>
    <w:p>
      <w:pPr>
        <w:numPr>
          <w:ilvl w:val="0"/>
          <w:numId w:val="12"/>
        </w:numPr>
        <w:spacing w:line="360" w:after="210" w:lineRule="auto"/>
      </w:pPr>
      <w:hyperlink r:id="rId59">
        <w:r>
          <w:rPr>
            <w:rFonts w:eastAsia="helvetica neue" w:cs="helvetica neue" w:ascii="helvetica neue" w:hAnsi="helvetica neue"/>
            <w:color w:val="#000"/>
            <w:sz w:val="18"/>
            <w:u w:val="single"/>
          </w:rPr>
          <w:t xml:space="preserve">https://www.tomshw.it/hardware/cina-licenziamenti-ia-costa-meno</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 w:name="fn55"/>
    <w:bookmarkEnd w:id="221"/>
    <w:p>
      <w:pPr>
        <w:numPr>
          <w:ilvl w:val="0"/>
          <w:numId w:val="12"/>
        </w:numPr>
        <w:spacing w:line="360" w:after="210" w:lineRule="auto"/>
      </w:pPr>
      <w:hyperlink r:id="rId60">
        <w:r>
          <w:rPr>
            <w:rFonts w:eastAsia="helvetica neue" w:cs="helvetica neue" w:ascii="helvetica neue" w:hAnsi="helvetica neue"/>
            <w:color w:val="#000"/>
            <w:sz w:val="18"/>
            <w:u w:val="single"/>
          </w:rPr>
          <w:t xml:space="preserve">https://www.open.online/2026/05/06/cina-vietato-licenziare-sostituire-lavoratori-ai-due-sentenze/</w:t>
        </w:r>
      </w:hyperlink>
      <w:r>
        <w:rPr>
          <w:rFonts w:eastAsia="georgia" w:cs="georgia" w:ascii="georgia" w:hAnsi="georgia"/>
          <w:color w:val="000000"/>
          <w:sz w:val="18"/>
        </w:rPr>
        <w:t xml:space="preserve"> </w:t>
      </w:r>
    </w:p>
    <w:bookmarkStart w:id="222" w:name="fn56"/>
    <w:bookmarkEnd w:id="222"/>
    <w:p>
      <w:pPr>
        <w:numPr>
          <w:ilvl w:val="0"/>
          <w:numId w:val="12"/>
        </w:numPr>
        <w:spacing w:line="360" w:after="210" w:lineRule="auto"/>
      </w:pPr>
      <w:hyperlink r:id="rId61">
        <w:r>
          <w:rPr>
            <w:rFonts w:eastAsia="helvetica neue" w:cs="helvetica neue" w:ascii="helvetica neue" w:hAnsi="helvetica neue"/>
            <w:color w:val="#000"/>
            <w:sz w:val="18"/>
            <w:u w:val="single"/>
          </w:rPr>
          <w:t xml:space="preserve">https://www.the-bunker.it/2026/05/07/licenziamenti-per-colpa-dellia-la-cina-ribalta-tutto/</w:t>
        </w:r>
      </w:hyperlink>
      <w:r>
        <w:rPr>
          <w:rFonts w:eastAsia="georgia" w:cs="georgia" w:ascii="georgia" w:hAnsi="georgia"/>
          <w:color w:val="000000"/>
          <w:sz w:val="18"/>
        </w:rPr>
        <w:t xml:space="preserve"> </w:t>
      </w:r>
    </w:p>
    <w:bookmarkStart w:id="223" w:name="fn57"/>
    <w:bookmarkEnd w:id="223"/>
    <w:p>
      <w:pPr>
        <w:numPr>
          <w:ilvl w:val="0"/>
          <w:numId w:val="12"/>
        </w:numPr>
        <w:spacing w:line="360" w:after="210" w:lineRule="auto"/>
      </w:pPr>
      <w:hyperlink r:id="rId62">
        <w:r>
          <w:rPr>
            <w:rFonts w:eastAsia="helvetica neue" w:cs="helvetica neue" w:ascii="helvetica neue" w:hAnsi="helvetica neue"/>
            <w:color w:val="#000"/>
            <w:sz w:val="18"/>
            <w:u w:val="single"/>
          </w:rPr>
          <w:t xml:space="preserve">https://www.editorialedomani.it/giustizia/ce-un-giudice-a-pechino-no-al-licenziamento-per-la-sostituzione-del-lavoratore-con-lintelligenza-artificiale-th2yxbwr</w:t>
        </w:r>
      </w:hyperlink>
      <w:r>
        <w:rPr>
          <w:rFonts w:eastAsia="georgia" w:cs="georgia" w:ascii="georgia" w:hAnsi="georgia"/>
          <w:color w:val="000000"/>
          <w:sz w:val="18"/>
        </w:rPr>
        <w:t xml:space="preserve"> </w:t>
      </w:r>
    </w:p>
    <w:bookmarkStart w:id="224" w:name="fn58"/>
    <w:bookmarkEnd w:id="224"/>
    <w:p>
      <w:pPr>
        <w:numPr>
          <w:ilvl w:val="0"/>
          <w:numId w:val="12"/>
        </w:numPr>
        <w:spacing w:line="360" w:after="210" w:lineRule="auto"/>
      </w:pPr>
      <w:hyperlink r:id="rId63">
        <w:r>
          <w:rPr>
            <w:rFonts w:eastAsia="helvetica neue" w:cs="helvetica neue" w:ascii="helvetica neue" w:hAnsi="helvetica neue"/>
            <w:color w:val="#000"/>
            <w:sz w:val="18"/>
            <w:u w:val="single"/>
          </w:rPr>
          <w:t xml:space="preserve">https://www.quotidiano.net/tech/ai/il-tuo-capo-non-puo-buttarti-fuori-per-colpa-di-unia-lo-dice-un-tribunale-cinese-e-il-mondo-sta-a-guardare-ow05hhnb</w:t>
        </w:r>
      </w:hyperlink>
      <w:r>
        <w:rPr>
          <w:rFonts w:eastAsia="georgia" w:cs="georgia" w:ascii="georgia" w:hAnsi="georgia"/>
          <w:color w:val="000000"/>
          <w:sz w:val="18"/>
        </w:rPr>
        <w:t xml:space="preserve"> </w:t>
      </w:r>
    </w:p>
    <w:bookmarkStart w:id="225" w:name="fn59"/>
    <w:bookmarkEnd w:id="225"/>
    <w:p>
      <w:pPr>
        <w:numPr>
          <w:ilvl w:val="0"/>
          <w:numId w:val="12"/>
        </w:numPr>
        <w:spacing w:line="360" w:after="210" w:lineRule="auto"/>
      </w:pPr>
      <w:hyperlink r:id="rId64">
        <w:r>
          <w:rPr>
            <w:rFonts w:eastAsia="helvetica neue" w:cs="helvetica neue" w:ascii="helvetica neue" w:hAnsi="helvetica neue"/>
            <w:color w:val="#000"/>
            <w:sz w:val="18"/>
            <w:u w:val="single"/>
          </w:rPr>
          <w:t xml:space="preserve">https://www.softwaregb.it/cina-sentenza-storica-del-tribunale-di-hangzhou-illegittimo-il-licenziamento-del-lavoratore-sostituito-da-ai/</w:t>
        </w:r>
      </w:hyperlink>
      <w:r>
        <w:rPr>
          <w:rFonts w:eastAsia="georgia" w:cs="georgia" w:ascii="georgia" w:hAnsi="georgia"/>
          <w:color w:val="000000"/>
          <w:sz w:val="18"/>
        </w:rPr>
        <w:t xml:space="preserve"> </w:t>
      </w:r>
    </w:p>
    <w:bookmarkStart w:id="226" w:name="fn60"/>
    <w:bookmarkEnd w:id="226"/>
    <w:p>
      <w:pPr>
        <w:numPr>
          <w:ilvl w:val="0"/>
          <w:numId w:val="12"/>
        </w:numPr>
        <w:spacing w:line="360" w:after="210" w:lineRule="auto"/>
      </w:pPr>
      <w:hyperlink r:id="rId65">
        <w:r>
          <w:rPr>
            <w:rFonts w:eastAsia="helvetica neue" w:cs="helvetica neue" w:ascii="helvetica neue" w:hAnsi="helvetica neue"/>
            <w:color w:val="#000"/>
            <w:sz w:val="18"/>
            <w:u w:val="single"/>
          </w:rPr>
          <w:t xml:space="preserve">https://www.china-files.com/dialoghi-licenziamenti-nel-tech-e-aianxiety/</w:t>
        </w:r>
      </w:hyperlink>
      <w:r>
        <w:rPr>
          <w:rFonts w:eastAsia="georgia" w:cs="georgia" w:ascii="georgia" w:hAnsi="georgia"/>
          <w:color w:val="000000"/>
          <w:sz w:val="18"/>
        </w:rPr>
        <w:t xml:space="preserve"> </w:t>
      </w:r>
    </w:p>
    <w:bookmarkStart w:id="227" w:name="fn61"/>
    <w:bookmarkEnd w:id="227"/>
    <w:p>
      <w:pPr>
        <w:numPr>
          <w:ilvl w:val="0"/>
          <w:numId w:val="12"/>
        </w:numPr>
        <w:spacing w:line="360" w:after="210" w:lineRule="auto"/>
      </w:pPr>
      <w:hyperlink r:id="rId66">
        <w:r>
          <w:rPr>
            <w:rFonts w:eastAsia="helvetica neue" w:cs="helvetica neue" w:ascii="helvetica neue" w:hAnsi="helvetica neue"/>
            <w:color w:val="#000"/>
            <w:sz w:val="18"/>
            <w:u w:val="single"/>
          </w:rPr>
          <w:t xml:space="preserve">https://www.matricedigitale.it/2026/05/03/cina-vieta-licenziamenti-ia-nvidia-droni-giappone/</w:t>
        </w:r>
      </w:hyperlink>
      <w:r>
        <w:rPr>
          <w:rFonts w:eastAsia="georgia" w:cs="georgia" w:ascii="georgia" w:hAnsi="georgia"/>
          <w:color w:val="000000"/>
          <w:sz w:val="18"/>
        </w:rPr>
        <w:t xml:space="preserve"> </w:t>
      </w:r>
    </w:p>
    <w:bookmarkStart w:id="228" w:name="fn62"/>
    <w:bookmarkEnd w:id="228"/>
    <w:p>
      <w:pPr>
        <w:numPr>
          <w:ilvl w:val="0"/>
          <w:numId w:val="12"/>
        </w:numPr>
        <w:spacing w:line="360" w:after="210" w:lineRule="auto"/>
      </w:pPr>
      <w:hyperlink r:id="rId67">
        <w:r>
          <w:rPr>
            <w:rFonts w:eastAsia="helvetica neue" w:cs="helvetica neue" w:ascii="helvetica neue" w:hAnsi="helvetica neue"/>
            <w:color w:val="#000"/>
            <w:sz w:val="18"/>
            <w:u w:val="single"/>
          </w:rPr>
          <w:t xml:space="preserve">https://www.istitutoconfucio.unimi.it/2026/04/dialoghi-licenziamenti-nel-tech-e-aianxiety/</w:t>
        </w:r>
      </w:hyperlink>
      <w:r>
        <w:rPr>
          <w:rFonts w:eastAsia="georgia" w:cs="georgia" w:ascii="georgia" w:hAnsi="georgia"/>
          <w:color w:val="000000"/>
          <w:sz w:val="18"/>
        </w:rPr>
        <w:t xml:space="preserve"> </w:t>
      </w:r>
    </w:p>
    <w:bookmarkStart w:id="229" w:name="fn63"/>
    <w:bookmarkEnd w:id="229"/>
    <w:p>
      <w:pPr>
        <w:numPr>
          <w:ilvl w:val="0"/>
          <w:numId w:val="12"/>
        </w:numPr>
        <w:spacing w:line="360" w:after="210" w:lineRule="auto"/>
      </w:pPr>
      <w:hyperlink r:id="rId68">
        <w:r>
          <w:rPr>
            <w:rFonts w:eastAsia="helvetica neue" w:cs="helvetica neue" w:ascii="helvetica neue" w:hAnsi="helvetica neue"/>
            <w:color w:val="#000"/>
            <w:sz w:val="18"/>
            <w:u w:val="single"/>
          </w:rPr>
          <w:t xml:space="preserve">https://www.maurizioblondet.it/cina-il-tribunale-vieta-licenziamenti-e-tagli-dello-stipendio-per-colpa-dellai-una-sentenza-che-fa-scuola/</w:t>
        </w:r>
      </w:hyperlink>
      <w:r>
        <w:rPr>
          <w:rFonts w:eastAsia="georgia" w:cs="georgia" w:ascii="georgia" w:hAnsi="georgia"/>
          <w:color w:val="000000"/>
          <w:sz w:val="18"/>
        </w:rPr>
        <w:t xml:space="preserve"> </w:t>
      </w:r>
    </w:p>
    <w:bookmarkStart w:id="230" w:name="fn64"/>
    <w:bookmarkEnd w:id="230"/>
    <w:p>
      <w:pPr>
        <w:numPr>
          <w:ilvl w:val="0"/>
          <w:numId w:val="12"/>
        </w:numPr>
        <w:spacing w:line="360" w:after="210" w:lineRule="auto"/>
      </w:pPr>
      <w:hyperlink r:id="rId69">
        <w:r>
          <w:rPr>
            <w:rFonts w:eastAsia="helvetica neue" w:cs="helvetica neue" w:ascii="helvetica neue" w:hAnsi="helvetica neue"/>
            <w:color w:val="#000"/>
            <w:sz w:val="18"/>
            <w:u w:val="single"/>
          </w:rPr>
          <w:t xml:space="preserve">https://antonellas.substack.com/p/la-cina-orwelliana-che-difende-il</w:t>
        </w:r>
      </w:hyperlink>
      <w:r>
        <w:rPr>
          <w:rFonts w:eastAsia="georgia" w:cs="georgia" w:ascii="georgia" w:hAnsi="georgia"/>
          <w:color w:val="000000"/>
          <w:sz w:val="18"/>
        </w:rPr>
        <w:t xml:space="preserve"> </w:t>
      </w:r>
    </w:p>
    <w:bookmarkStart w:id="231" w:name="fn65"/>
    <w:bookmarkEnd w:id="231"/>
    <w:p>
      <w:pPr>
        <w:numPr>
          <w:ilvl w:val="0"/>
          <w:numId w:val="12"/>
        </w:numPr>
        <w:spacing w:line="360" w:after="210" w:lineRule="auto"/>
      </w:pPr>
      <w:hyperlink r:id="rId70">
        <w:r>
          <w:rPr>
            <w:rFonts w:eastAsia="helvetica neue" w:cs="helvetica neue" w:ascii="helvetica neue" w:hAnsi="helvetica neue"/>
            <w:color w:val="#000"/>
            <w:sz w:val="18"/>
            <w:u w:val="single"/>
          </w:rPr>
          <w:t xml:space="preserve">https://citynext.it/2026/05/04/la-cina-frena-i-licenziamenti-causati-dallai-tribunale-di-hangzhou-boccia-unazienda-che-aveva-sostituito-un-manager-con-lintelligenza-artificiale/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2" w:name="fn66"/>
    <w:bookmarkEnd w:id="232"/>
    <w:p>
      <w:pPr>
        <w:numPr>
          <w:ilvl w:val="0"/>
          <w:numId w:val="12"/>
        </w:numPr>
        <w:spacing w:line="360" w:after="210" w:lineRule="auto"/>
      </w:pPr>
      <w:hyperlink r:id="rId71">
        <w:r>
          <w:rPr>
            <w:rFonts w:eastAsia="helvetica neue" w:cs="helvetica neue" w:ascii="helvetica neue" w:hAnsi="helvetica neue"/>
            <w:color w:val="#000"/>
            <w:sz w:val="18"/>
            <w:u w:val="single"/>
          </w:rPr>
          <w:t xml:space="preserve">https://www.rivistastudio.com/cina-sentenza-intelligenza-artificiale-lavoro/</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3" w:name="fn67"/>
    <w:bookmarkEnd w:id="233"/>
    <w:p>
      <w:pPr>
        <w:numPr>
          <w:ilvl w:val="0"/>
          <w:numId w:val="12"/>
        </w:numPr>
        <w:spacing w:line="360" w:after="210" w:lineRule="auto"/>
      </w:pPr>
      <w:hyperlink r:id="rId72">
        <w:r>
          <w:rPr>
            <w:rFonts w:eastAsia="helvetica neue" w:cs="helvetica neue" w:ascii="helvetica neue" w:hAnsi="helvetica neue"/>
            <w:color w:val="#000"/>
            <w:sz w:val="18"/>
            <w:u w:val="single"/>
          </w:rPr>
          <w:t xml:space="preserve">https://www.open.online/2026/05/06/cina-vietato-licenziare-sostituire-lavoratori-ai-due-sentenze/</w:t>
        </w:r>
      </w:hyperlink>
      <w:r>
        <w:rPr>
          <w:rFonts w:eastAsia="georgia" w:cs="georgia" w:ascii="georgia" w:hAnsi="georgia"/>
          <w:color w:val="000000"/>
          <w:sz w:val="18"/>
        </w:rPr>
        <w:t xml:space="preserve"> </w:t>
      </w:r>
    </w:p>
    <w:bookmarkStart w:id="234" w:name="fn68"/>
    <w:bookmarkEnd w:id="234"/>
    <w:p>
      <w:pPr>
        <w:numPr>
          <w:ilvl w:val="0"/>
          <w:numId w:val="12"/>
        </w:numPr>
        <w:spacing w:line="360" w:after="210" w:lineRule="auto"/>
      </w:pPr>
      <w:hyperlink r:id="rId73">
        <w:r>
          <w:rPr>
            <w:rFonts w:eastAsia="helvetica neue" w:cs="helvetica neue" w:ascii="helvetica neue" w:hAnsi="helvetica neue"/>
            <w:color w:val="#000"/>
            <w:sz w:val="18"/>
            <w:u w:val="single"/>
          </w:rPr>
          <w:t xml:space="preserve">https://www.delucapartners.it/en/insights/employers-are-required-to-inform-workers-about-the-use-of-artificial-intelligence/</w:t>
        </w:r>
      </w:hyperlink>
      <w:r>
        <w:rPr>
          <w:rFonts w:eastAsia="georgia" w:cs="georgia" w:ascii="georgia" w:hAnsi="georgia"/>
          <w:color w:val="000000"/>
          <w:sz w:val="18"/>
        </w:rPr>
        <w:t xml:space="preserve"> </w:t>
      </w:r>
    </w:p>
    <w:bookmarkStart w:id="235" w:name="fn69"/>
    <w:bookmarkEnd w:id="235"/>
    <w:p>
      <w:pPr>
        <w:numPr>
          <w:ilvl w:val="0"/>
          <w:numId w:val="12"/>
        </w:numPr>
        <w:spacing w:line="360" w:after="210" w:lineRule="auto"/>
      </w:pPr>
      <w:hyperlink r:id="rId74">
        <w:r>
          <w:rPr>
            <w:rFonts w:eastAsia="helvetica neue" w:cs="helvetica neue" w:ascii="helvetica neue" w:hAnsi="helvetica neue"/>
            <w:color w:val="#000"/>
            <w:sz w:val="18"/>
            <w:u w:val="single"/>
          </w:rPr>
          <w:t xml:space="preserve">https://www.jdsupra.com/legalnews/ai-news-italy-sets-the-rules-for-ai-in-7550656/</w:t>
        </w:r>
      </w:hyperlink>
      <w:r>
        <w:rPr>
          <w:rFonts w:eastAsia="georgia" w:cs="georgia" w:ascii="georgia" w:hAnsi="georgia"/>
          <w:color w:val="000000"/>
          <w:sz w:val="18"/>
        </w:rPr>
        <w:t xml:space="preserve"> </w:t>
      </w:r>
    </w:p>
    <w:bookmarkStart w:id="236" w:name="fn70"/>
    <w:bookmarkEnd w:id="236"/>
    <w:p>
      <w:pPr>
        <w:numPr>
          <w:ilvl w:val="0"/>
          <w:numId w:val="12"/>
        </w:numPr>
        <w:spacing w:line="360" w:after="210" w:lineRule="auto"/>
      </w:pPr>
      <w:hyperlink r:id="rId75">
        <w:r>
          <w:rPr>
            <w:rFonts w:eastAsia="helvetica neue" w:cs="helvetica neue" w:ascii="helvetica neue" w:hAnsi="helvetica neue"/>
            <w:color w:val="#000"/>
            <w:sz w:val="18"/>
            <w:u w:val="single"/>
          </w:rPr>
          <w:t xml:space="preserve">https://iris.unito.it/retrieve/1e9ee188-8cf1-48be-9d18-b1ca5e50ca5c/Gaudio &amp; Nogarede (2025) Worker Data Rights under the GDPR and beyond.pdf</w:t>
        </w:r>
      </w:hyperlink>
      <w:r>
        <w:rPr>
          <w:rFonts w:eastAsia="georgia" w:cs="georgia" w:ascii="georgia" w:hAnsi="georgia"/>
          <w:color w:val="000000"/>
          <w:sz w:val="18"/>
        </w:rPr>
        <w:t xml:space="preserve"> </w:t>
      </w:r>
    </w:p>
    <w:bookmarkStart w:id="237" w:name="fn71"/>
    <w:bookmarkEnd w:id="237"/>
    <w:p>
      <w:pPr>
        <w:numPr>
          <w:ilvl w:val="0"/>
          <w:numId w:val="12"/>
        </w:numPr>
        <w:spacing w:line="360" w:after="210" w:lineRule="auto"/>
      </w:pPr>
      <w:hyperlink r:id="rId76">
        <w:r>
          <w:rPr>
            <w:rFonts w:eastAsia="helvetica neue" w:cs="helvetica neue" w:ascii="helvetica neue" w:hAnsi="helvetica neue"/>
            <w:color w:val="#000"/>
            <w:sz w:val="18"/>
            <w:u w:val="single"/>
          </w:rPr>
          <w:t xml:space="preserve">https://www.etuc.org/en/pressrelease/growing-ai-surveillance-workers-likely-illegal</w:t>
        </w:r>
      </w:hyperlink>
      <w:r>
        <w:rPr>
          <w:rFonts w:eastAsia="georgia" w:cs="georgia" w:ascii="georgia" w:hAnsi="georgia"/>
          <w:color w:val="000000"/>
          <w:sz w:val="18"/>
        </w:rPr>
        <w:t xml:space="preserve"> </w:t>
      </w:r>
    </w:p>
    <w:bookmarkStart w:id="238" w:name="fn72"/>
    <w:bookmarkEnd w:id="238"/>
    <w:p>
      <w:pPr>
        <w:numPr>
          <w:ilvl w:val="0"/>
          <w:numId w:val="12"/>
        </w:numPr>
        <w:spacing w:line="360" w:after="210" w:lineRule="auto"/>
      </w:pPr>
      <w:hyperlink r:id="rId77">
        <w:r>
          <w:rPr>
            <w:rFonts w:eastAsia="helvetica neue" w:cs="helvetica neue" w:ascii="helvetica neue" w:hAnsi="helvetica neue"/>
            <w:color w:val="#000"/>
            <w:sz w:val="18"/>
            <w:u w:val="single"/>
          </w:rPr>
          <w:t xml:space="preserve">https://www.klgates.com/AI-News-Italy-Sets-the-Rules-for-AI-in-the-Workplace-2-20-2026</w:t>
        </w:r>
      </w:hyperlink>
      <w:r>
        <w:rPr>
          <w:rFonts w:eastAsia="georgia" w:cs="georgia" w:ascii="georgia" w:hAnsi="georgia"/>
          <w:color w:val="000000"/>
          <w:sz w:val="18"/>
        </w:rPr>
        <w:t xml:space="preserve"> </w:t>
      </w:r>
    </w:p>
    <w:bookmarkStart w:id="239" w:name="fn73"/>
    <w:bookmarkEnd w:id="239"/>
    <w:p>
      <w:pPr>
        <w:numPr>
          <w:ilvl w:val="0"/>
          <w:numId w:val="12"/>
        </w:numPr>
        <w:spacing w:line="360" w:after="210" w:lineRule="auto"/>
      </w:pPr>
      <w:hyperlink r:id="rId78">
        <w:r>
          <w:rPr>
            <w:rFonts w:eastAsia="helvetica neue" w:cs="helvetica neue" w:ascii="helvetica neue" w:hAnsi="helvetica neue"/>
            <w:color w:val="#000"/>
            <w:sz w:val="18"/>
            <w:u w:val="single"/>
          </w:rPr>
          <w:t xml:space="preserve">https://www.delucapartners.it/en/pillar/labour-law-and-artificial-intelligence-risks-and-compliance/</w:t>
        </w:r>
      </w:hyperlink>
      <w:r>
        <w:rPr>
          <w:rFonts w:eastAsia="georgia" w:cs="georgia" w:ascii="georgia" w:hAnsi="georgia"/>
          <w:color w:val="000000"/>
          <w:sz w:val="18"/>
        </w:rPr>
        <w:t xml:space="preserve"> </w:t>
      </w:r>
    </w:p>
    <w:bookmarkStart w:id="240" w:name="fn74"/>
    <w:bookmarkEnd w:id="240"/>
    <w:p>
      <w:pPr>
        <w:numPr>
          <w:ilvl w:val="0"/>
          <w:numId w:val="12"/>
        </w:numPr>
        <w:spacing w:line="360" w:after="210" w:lineRule="auto"/>
      </w:pPr>
      <w:r>
        <w:rPr>
          <w:rFonts w:eastAsia="georgia" w:cs="georgia" w:ascii="georgia" w:hAnsi="georgia"/>
          <w:color w:val="000000"/>
          <w:sz w:val="18"/>
        </w:rPr>
        <w:t xml:space="preserve">Comprendere-i-Bias-dellIntelligenza-Artificiale_-Riflessioni-Da-Una-Prospettiva-Imprenditoriale.md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1" w:name="fn75"/>
    <w:bookmarkEnd w:id="241"/>
    <w:p>
      <w:pPr>
        <w:numPr>
          <w:ilvl w:val="0"/>
          <w:numId w:val="12"/>
        </w:numPr>
        <w:spacing w:line="360" w:after="210" w:lineRule="auto"/>
      </w:pPr>
      <w:hyperlink r:id="rId79">
        <w:r>
          <w:rPr>
            <w:rFonts w:eastAsia="helvetica neue" w:cs="helvetica neue" w:ascii="helvetica neue" w:hAnsi="helvetica neue"/>
            <w:color w:val="#000"/>
            <w:sz w:val="18"/>
            <w:u w:val="single"/>
          </w:rPr>
          <w:t xml:space="preserve">https://www.hr-link.it/intelligenza-artificiale-legge-132-2025-hr/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2" w:name="fn76"/>
    <w:bookmarkEnd w:id="242"/>
    <w:p>
      <w:pPr>
        <w:numPr>
          <w:ilvl w:val="0"/>
          <w:numId w:val="12"/>
        </w:numPr>
        <w:spacing w:line="360" w:after="210" w:lineRule="auto"/>
      </w:pPr>
      <w:hyperlink r:id="rId80">
        <w:r>
          <w:rPr>
            <w:rFonts w:eastAsia="helvetica neue" w:cs="helvetica neue" w:ascii="helvetica neue" w:hAnsi="helvetica neue"/>
            <w:color w:val="#000"/>
            <w:sz w:val="18"/>
            <w:u w:val="single"/>
          </w:rPr>
          <w:t xml:space="preserve">https://thesis.unipd.it/handle/20.500.12608/89837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3" w:name="fn77"/>
    <w:bookmarkEnd w:id="243"/>
    <w:p>
      <w:pPr>
        <w:numPr>
          <w:ilvl w:val="0"/>
          <w:numId w:val="12"/>
        </w:numPr>
        <w:spacing w:line="360" w:after="210" w:lineRule="auto"/>
      </w:pPr>
      <w:hyperlink r:id="rId81">
        <w:r>
          <w:rPr>
            <w:rFonts w:eastAsia="helvetica neue" w:cs="helvetica neue" w:ascii="helvetica neue" w:hAnsi="helvetica neue"/>
            <w:color w:val="#000"/>
            <w:sz w:val="18"/>
            <w:u w:val="single"/>
          </w:rPr>
          <w:t xml:space="preserve">https://www.studiolegalestefanelli.it/it/approfondimenti/intelligenza-artificiale-compliance-aziendale-231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 w:name="fn78"/>
    <w:bookmarkEnd w:id="244"/>
    <w:p>
      <w:pPr>
        <w:numPr>
          <w:ilvl w:val="0"/>
          <w:numId w:val="12"/>
        </w:numPr>
        <w:spacing w:line="360" w:after="210" w:lineRule="auto"/>
      </w:pPr>
      <w:hyperlink r:id="rId82">
        <w:r>
          <w:rPr>
            <w:rFonts w:eastAsia="helvetica neue" w:cs="helvetica neue" w:ascii="helvetica neue" w:hAnsi="helvetica neue"/>
            <w:color w:val="#000"/>
            <w:sz w:val="18"/>
            <w:u w:val="single"/>
          </w:rPr>
          <w:t xml:space="preserve">https://vocati.it/intelligenza-artificiale-e-lavoro-le-nuove-regole-per-la-gestione-delle-risorse-umane/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5" w:name="fn79"/>
    <w:bookmarkEnd w:id="245"/>
    <w:p>
      <w:pPr>
        <w:numPr>
          <w:ilvl w:val="0"/>
          <w:numId w:val="12"/>
        </w:numPr>
        <w:spacing w:line="360" w:after="210" w:lineRule="auto"/>
      </w:pPr>
      <w:hyperlink r:id="rId83">
        <w:r>
          <w:rPr>
            <w:rFonts w:eastAsia="helvetica neue" w:cs="helvetica neue" w:ascii="helvetica neue" w:hAnsi="helvetica neue"/>
            <w:color w:val="#000"/>
            <w:sz w:val="18"/>
            <w:u w:val="single"/>
          </w:rPr>
          <w:t xml:space="preserve">https://www.fiscoetasse.com/new-rassegna-stampa/3042-uso-dellai-in-azienda-con-obbligo-di-trasparenza.html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6" w:name="fn80"/>
    <w:bookmarkEnd w:id="246"/>
    <w:p>
      <w:pPr>
        <w:numPr>
          <w:ilvl w:val="0"/>
          <w:numId w:val="12"/>
        </w:numPr>
        <w:spacing w:line="360" w:after="210" w:lineRule="auto"/>
      </w:pPr>
      <w:hyperlink r:id="rId84">
        <w:r>
          <w:rPr>
            <w:rFonts w:eastAsia="helvetica neue" w:cs="helvetica neue" w:ascii="helvetica neue" w:hAnsi="helvetica neue"/>
            <w:color w:val="#000"/>
            <w:sz w:val="18"/>
            <w:u w:val="single"/>
          </w:rPr>
          <w:t xml:space="preserve">https://www.aidp.it/hronline/2026/3/5/legge-1322025-la-nuova-governance-dellia-per-la-funzione-hr.php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7" w:name="fn81"/>
    <w:bookmarkEnd w:id="247"/>
    <w:p>
      <w:pPr>
        <w:numPr>
          <w:ilvl w:val="0"/>
          <w:numId w:val="12"/>
        </w:numPr>
        <w:spacing w:line="360" w:after="210" w:lineRule="auto"/>
      </w:pPr>
      <w:hyperlink r:id="rId85">
        <w:r>
          <w:rPr>
            <w:rFonts w:eastAsia="helvetica neue" w:cs="helvetica neue" w:ascii="helvetica neue" w:hAnsi="helvetica neue"/>
            <w:color w:val="#000"/>
            <w:sz w:val="18"/>
            <w:u w:val="single"/>
          </w:rPr>
          <w:t xml:space="preserve">https://www.assiv.it/ia-e-gestione-del-personale-divieti-e-limiti-al-social-scoring-tra-giurisprudenza-e-normativa-ue/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8" w:name="fn82"/>
    <w:bookmarkEnd w:id="248"/>
    <w:p>
      <w:pPr>
        <w:numPr>
          <w:ilvl w:val="0"/>
          <w:numId w:val="12"/>
        </w:numPr>
        <w:spacing w:line="360" w:after="210" w:lineRule="auto"/>
      </w:pPr>
      <w:hyperlink r:id="rId86">
        <w:r>
          <w:rPr>
            <w:rFonts w:eastAsia="helvetica neue" w:cs="helvetica neue" w:ascii="helvetica neue" w:hAnsi="helvetica neue"/>
            <w:color w:val="#000"/>
            <w:sz w:val="18"/>
            <w:u w:val="single"/>
          </w:rPr>
          <w:t xml:space="preserve">https://www.lavorodirittieuropa.it/dottrina/principi-e-fonti/1663-l-impatto-dell-intelligenza-artificiale-sul-controllo-e-la-valutazione-della-prestazione-e-sull-esercizio-del-potere-disciplinare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9" w:name="fn83"/>
    <w:bookmarkEnd w:id="249"/>
    <w:p>
      <w:pPr>
        <w:numPr>
          <w:ilvl w:val="0"/>
          <w:numId w:val="12"/>
        </w:numPr>
        <w:spacing w:line="360" w:after="210" w:lineRule="auto"/>
      </w:pPr>
      <w:hyperlink r:id="rId87">
        <w:r>
          <w:rPr>
            <w:rFonts w:eastAsia="helvetica neue" w:cs="helvetica neue" w:ascii="helvetica neue" w:hAnsi="helvetica neue"/>
            <w:color w:val="#000"/>
            <w:sz w:val="18"/>
            <w:u w:val="single"/>
          </w:rPr>
          <w:t xml:space="preserve">https://www.gility.it/blog/formazione-e-competenze/legge-ai-132-2025-guida-completa-alla-conformita</w:t>
        </w:r>
      </w:hyperlink>
      <w:r>
        <w:rPr>
          <w:rFonts w:eastAsia="georgia" w:cs="georgia" w:ascii="georgia" w:hAnsi="georgia"/>
          <w:color w:val="000000"/>
          <w:sz w:val="18"/>
        </w:rPr>
        <w:t xml:space="preserve"> </w:t>
      </w:r>
    </w:p>
    <w:bookmarkStart w:id="250" w:name="fn84"/>
    <w:bookmarkEnd w:id="250"/>
    <w:p>
      <w:pPr>
        <w:numPr>
          <w:ilvl w:val="0"/>
          <w:numId w:val="12"/>
        </w:numPr>
        <w:spacing w:line="360" w:after="210" w:lineRule="auto"/>
      </w:pPr>
      <w:hyperlink r:id="rId88">
        <w:r>
          <w:rPr>
            <w:rFonts w:eastAsia="helvetica neue" w:cs="helvetica neue" w:ascii="helvetica neue" w:hAnsi="helvetica neue"/>
            <w:color w:val="#000"/>
            <w:sz w:val="18"/>
            <w:u w:val="single"/>
          </w:rPr>
          <w:t xml:space="preserve">https://www.kinetikon.com/ai-act-legge-italiana-ia-checklist-manager/</w:t>
        </w:r>
      </w:hyperlink>
      <w:r>
        <w:rPr>
          <w:rFonts w:eastAsia="georgia" w:cs="georgia" w:ascii="georgia" w:hAnsi="georgia"/>
          <w:color w:val="000000"/>
          <w:sz w:val="18"/>
        </w:rPr>
        <w:t xml:space="preserve"> </w:t>
      </w:r>
    </w:p>
    <w:bookmarkStart w:id="251" w:name="fn85"/>
    <w:bookmarkEnd w:id="251"/>
    <w:p>
      <w:pPr>
        <w:numPr>
          <w:ilvl w:val="0"/>
          <w:numId w:val="12"/>
        </w:numPr>
        <w:spacing w:line="360" w:after="210" w:lineRule="auto"/>
      </w:pPr>
      <w:hyperlink r:id="rId89">
        <w:r>
          <w:rPr>
            <w:rFonts w:eastAsia="helvetica neue" w:cs="helvetica neue" w:ascii="helvetica neue" w:hAnsi="helvetica neue"/>
            <w:color w:val="#000"/>
            <w:sz w:val="18"/>
            <w:u w:val="single"/>
          </w:rPr>
          <w:t xml:space="preserve">https://tesi.luiss.it/40269/1/252491_TROISE_FEDERICA.pdf</w:t>
        </w:r>
      </w:hyperlink>
      <w:r>
        <w:rPr>
          <w:rFonts w:eastAsia="georgia" w:cs="georgia" w:ascii="georgia" w:hAnsi="georgia"/>
          <w:color w:val="000000"/>
          <w:sz w:val="18"/>
        </w:rPr>
        <w:t xml:space="preserve"> </w:t>
      </w:r>
    </w:p>
    <w:bookmarkStart w:id="252" w:name="fn86"/>
    <w:bookmarkEnd w:id="252"/>
    <w:p>
      <w:pPr>
        <w:numPr>
          <w:ilvl w:val="0"/>
          <w:numId w:val="12"/>
        </w:numPr>
        <w:spacing w:line="360" w:after="210" w:lineRule="auto"/>
      </w:pPr>
      <w:hyperlink r:id="rId90">
        <w:r>
          <w:rPr>
            <w:rFonts w:eastAsia="helvetica neue" w:cs="helvetica neue" w:ascii="helvetica neue" w:hAnsi="helvetica neue"/>
            <w:color w:val="#000"/>
            <w:sz w:val="18"/>
            <w:u w:val="single"/>
          </w:rPr>
          <w:t xml:space="preserve">https://jelt.padovauniversitypress.it/system/files/papers/JELT-2021-2-06_4.pdf</w:t>
        </w:r>
      </w:hyperlink>
      <w:r>
        <w:rPr>
          <w:rFonts w:eastAsia="georgia" w:cs="georgia" w:ascii="georgia" w:hAnsi="georgia"/>
          <w:color w:val="000000"/>
          <w:sz w:val="18"/>
        </w:rPr>
        <w:t xml:space="preserve"> </w:t>
      </w:r>
    </w:p>
    <w:bookmarkStart w:id="253" w:name="fn87"/>
    <w:bookmarkEnd w:id="253"/>
    <w:p>
      <w:pPr>
        <w:numPr>
          <w:ilvl w:val="0"/>
          <w:numId w:val="12"/>
        </w:numPr>
        <w:spacing w:line="360" w:after="210" w:lineRule="auto"/>
      </w:pPr>
      <w:hyperlink r:id="rId91">
        <w:r>
          <w:rPr>
            <w:rFonts w:eastAsia="helvetica neue" w:cs="helvetica neue" w:ascii="helvetica neue" w:hAnsi="helvetica neue"/>
            <w:color w:val="#000"/>
            <w:sz w:val="18"/>
            <w:u w:val="single"/>
          </w:rPr>
          <w:t xml:space="preserve">https://air.unimi.it/retrieve/d22a41f1-da4a-48fb-9e74-516b3afffcef/SARTORI, Intelligenza artificiale e rapporto di lavoro.pdf</w:t>
        </w:r>
      </w:hyperlink>
      <w:r>
        <w:rPr>
          <w:rFonts w:eastAsia="georgia" w:cs="georgia" w:ascii="georgia" w:hAnsi="georgia"/>
          <w:color w:val="000000"/>
          <w:sz w:val="18"/>
        </w:rPr>
        <w:t xml:space="preserve"> </w:t>
      </w:r>
    </w:p>
    <w:bookmarkStart w:id="254" w:name="fn88"/>
    <w:bookmarkEnd w:id="254"/>
    <w:p>
      <w:pPr>
        <w:numPr>
          <w:ilvl w:val="0"/>
          <w:numId w:val="12"/>
        </w:numPr>
        <w:spacing w:line="360" w:after="210" w:lineRule="auto"/>
      </w:pPr>
      <w:hyperlink r:id="rId92">
        <w:r>
          <w:rPr>
            <w:rFonts w:eastAsia="helvetica neue" w:cs="helvetica neue" w:ascii="helvetica neue" w:hAnsi="helvetica neue"/>
            <w:color w:val="#000"/>
            <w:sz w:val="18"/>
            <w:u w:val="single"/>
          </w:rPr>
          <w:t xml:space="preserve">https://assodigit.it/insight-hr/legge-132-2025-cosa-cambia-per-imprese-e-hr-con-lintelligenza-artificiale/</w:t>
        </w:r>
      </w:hyperlink>
      <w:r>
        <w:rPr>
          <w:rFonts w:eastAsia="georgia" w:cs="georgia" w:ascii="georgia" w:hAnsi="georgia"/>
          <w:color w:val="000000"/>
          <w:sz w:val="18"/>
        </w:rPr>
        <w:t xml:space="preserve"> </w:t>
      </w:r>
    </w:p>
    <w:bookmarkStart w:id="255" w:name="fn89"/>
    <w:bookmarkEnd w:id="255"/>
    <w:p>
      <w:pPr>
        <w:numPr>
          <w:ilvl w:val="0"/>
          <w:numId w:val="12"/>
        </w:numPr>
        <w:spacing w:line="360" w:after="210" w:lineRule="auto"/>
      </w:pPr>
      <w:hyperlink r:id="rId93">
        <w:r>
          <w:rPr>
            <w:rFonts w:eastAsia="helvetica neue" w:cs="helvetica neue" w:ascii="helvetica neue" w:hAnsi="helvetica neue"/>
            <w:color w:val="#000"/>
            <w:sz w:val="18"/>
            <w:u w:val="single"/>
          </w:rPr>
          <w:t xml:space="preserve">https://www.aidp.it/hronline/2026/3/5/legge-1322025-la-nuova-governance-dellia-per-la-funzione-hr.php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6" w:name="fn90"/>
    <w:bookmarkEnd w:id="256"/>
    <w:p>
      <w:pPr>
        <w:numPr>
          <w:ilvl w:val="0"/>
          <w:numId w:val="12"/>
        </w:numPr>
        <w:spacing w:line="360" w:after="210" w:lineRule="auto"/>
      </w:pPr>
      <w:hyperlink r:id="rId94">
        <w:r>
          <w:rPr>
            <w:rFonts w:eastAsia="helvetica neue" w:cs="helvetica neue" w:ascii="helvetica neue" w:hAnsi="helvetica neue"/>
            <w:color w:val="#000"/>
            <w:sz w:val="18"/>
            <w:u w:val="single"/>
          </w:rPr>
          <w:t xml:space="preserve">https://www.fiscoetasse.com/new-rassegna-stampa/3042-uso-dellai-in-azienda-con-obbligo-di-trasparenza.html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7" w:name="fn91"/>
    <w:bookmarkEnd w:id="257"/>
    <w:p>
      <w:pPr>
        <w:numPr>
          <w:ilvl w:val="0"/>
          <w:numId w:val="12"/>
        </w:numPr>
        <w:spacing w:line="360" w:after="210" w:lineRule="auto"/>
      </w:pPr>
      <w:hyperlink r:id="rId95">
        <w:r>
          <w:rPr>
            <w:rFonts w:eastAsia="helvetica neue" w:cs="helvetica neue" w:ascii="helvetica neue" w:hAnsi="helvetica neue"/>
            <w:color w:val="#000"/>
            <w:sz w:val="18"/>
            <w:u w:val="single"/>
          </w:rPr>
          <w:t xml:space="preserve">https://thesis.unipd.it/handle/20.500.12608/89837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8" w:name="fn92"/>
    <w:bookmarkEnd w:id="258"/>
    <w:p>
      <w:pPr>
        <w:numPr>
          <w:ilvl w:val="0"/>
          <w:numId w:val="12"/>
        </w:numPr>
        <w:spacing w:line="360" w:after="210" w:lineRule="auto"/>
      </w:pPr>
      <w:hyperlink r:id="rId96">
        <w:r>
          <w:rPr>
            <w:rFonts w:eastAsia="helvetica neue" w:cs="helvetica neue" w:ascii="helvetica neue" w:hAnsi="helvetica neue"/>
            <w:color w:val="#000"/>
            <w:sz w:val="18"/>
            <w:u w:val="single"/>
          </w:rPr>
          <w:t xml:space="preserve">https://vocati.it/intelligenza-artificiale-e-lavoro-le-nuove-regole-per-la-gestione-delle-risorse-umane/</w:t>
        </w:r>
      </w:hyperlink>
      <w:r>
        <w:rPr>
          <w:rFonts w:eastAsia="georgia" w:cs="georgia" w:ascii="georgia" w:hAnsi="georgia"/>
          <w:color w:val="000000"/>
          <w:sz w:val="18"/>
        </w:rPr>
        <w:t xml:space="preserve"> </w:t>
      </w:r>
    </w:p>
    <w:bookmarkStart w:id="259" w:name="fn93"/>
    <w:bookmarkEnd w:id="259"/>
    <w:p>
      <w:pPr>
        <w:numPr>
          <w:ilvl w:val="0"/>
          <w:numId w:val="12"/>
        </w:numPr>
        <w:spacing w:line="360" w:after="210" w:lineRule="auto"/>
      </w:pPr>
      <w:hyperlink r:id="rId97">
        <w:r>
          <w:rPr>
            <w:rFonts w:eastAsia="helvetica neue" w:cs="helvetica neue" w:ascii="helvetica neue" w:hAnsi="helvetica neue"/>
            <w:color w:val="#000"/>
            <w:sz w:val="18"/>
            <w:u w:val="single"/>
          </w:rPr>
          <w:t xml:space="preserve">https://www.studiolegalestefanelli.it/it/approfondimenti/intelligenza-artificiale-compliance-aziendale-231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0" w:name="fn94"/>
    <w:bookmarkEnd w:id="260"/>
    <w:p>
      <w:pPr>
        <w:numPr>
          <w:ilvl w:val="0"/>
          <w:numId w:val="12"/>
        </w:numPr>
        <w:spacing w:line="360" w:after="210" w:lineRule="auto"/>
      </w:pPr>
      <w:hyperlink r:id="rId98">
        <w:r>
          <w:rPr>
            <w:rFonts w:eastAsia="helvetica neue" w:cs="helvetica neue" w:ascii="helvetica neue" w:hAnsi="helvetica neue"/>
            <w:color w:val="#000"/>
            <w:sz w:val="18"/>
            <w:u w:val="single"/>
          </w:rPr>
          <w:t xml:space="preserve">https://www.assiv.it/ia-e-gestione-del-personale-divieti-e-limiti-al-social-scoring-tra-giurisprudenza-e-normativa-ue/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1" w:name="fn95"/>
    <w:bookmarkEnd w:id="261"/>
    <w:p>
      <w:pPr>
        <w:numPr>
          <w:ilvl w:val="0"/>
          <w:numId w:val="12"/>
        </w:numPr>
        <w:spacing w:line="360" w:after="210" w:lineRule="auto"/>
      </w:pPr>
      <w:hyperlink r:id="rId99">
        <w:r>
          <w:rPr>
            <w:rFonts w:eastAsia="helvetica neue" w:cs="helvetica neue" w:ascii="helvetica neue" w:hAnsi="helvetica neue"/>
            <w:color w:val="#000"/>
            <w:sz w:val="18"/>
            <w:u w:val="single"/>
          </w:rPr>
          <w:t xml:space="preserve">https://www.hr-link.it/intelligenza-artificiale-legge-132-2025-hr/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abstractNum>
  <w:abstractNum w:abstractNumId="1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it-IT"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it-IT"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77b4d144d9813ad0cb122fb258bb566c583aa9b.png" TargetMode="Internal"/><Relationship Id="rId6" Type="http://schemas.openxmlformats.org/officeDocument/2006/relationships/hyperlink" Target="https://www.trevisancuonzo.com/en/2026/04/italy-and-the-eu-ai-act-a-double-layer-of-obligations/" TargetMode="External"/><Relationship Id="rId7" Type="http://schemas.openxmlformats.org/officeDocument/2006/relationships/hyperlink" Target="https://www.klgates.com/AI-News-Italy-Sets-the-Rules-for-AI-in-the-Workplace-2-20-2026" TargetMode="External"/><Relationship Id="rId8" Type="http://schemas.openxmlformats.org/officeDocument/2006/relationships/hyperlink" Target="https://industrialrelationsnews.ioe-emp.org/industrial-relations-and-labour-law-november-2025/news/article/italy-data-protection-authority-sets-limits-on-the-use-of-employees-messages" TargetMode="External"/><Relationship Id="rId9" Type="http://schemas.openxmlformats.org/officeDocument/2006/relationships/hyperlink" Target="https://iris.unito.it/retrieve/1e9ee188-8cf1-48be-9d18-b1ca5e50ca5c/Gaudio%20&amp;%20Nogarede%20(2025)%20Worker%20Data%20Rights%20under%20the%20GDPR%20and%20beyond.pdf" TargetMode="External"/><Relationship Id="rId10" Type="http://schemas.openxmlformats.org/officeDocument/2006/relationships/hyperlink" Target="https://www.etuc.org/en/pressrelease/growing-ai-surveillance-workers-likely-illegal" TargetMode="External"/><Relationship Id="rId11" Type="http://schemas.openxmlformats.org/officeDocument/2006/relationships/hyperlink" Target="https://www.jonesday.com/en/insights/2025/10/italy-leads-the-way-in-shaping-national-ai-legislation-within-the-eu" TargetMode="External"/><Relationship Id="rId12" Type="http://schemas.openxmlformats.org/officeDocument/2006/relationships/hyperlink" Target="https://www.pglegal.it/uso-improprio-dellintelligenza-artificiale-negli-atti-giudiziari-responsabilita-del-professionista/" TargetMode="External"/><Relationship Id="rId13" Type="http://schemas.openxmlformats.org/officeDocument/2006/relationships/hyperlink" Target="https://www.delucapartners.it/en/insights/employers-are-required-to-inform-workers-about-the-use-of-artificial-intelligence/" TargetMode="External"/><Relationship Id="rId14" Type="http://schemas.openxmlformats.org/officeDocument/2006/relationships/hyperlink" Target="https://www.jdsupra.com/legalnews/ai-news-italy-sets-the-rules-for-ai-in-7550656/" TargetMode="External"/><Relationship Id="rId15" Type="http://schemas.openxmlformats.org/officeDocument/2006/relationships/hyperlink" Target="https://partnershiponai.org/resource/how-an-italian-trade-union-won-ai-protections-for-call-center-workers/" TargetMode="External"/><Relationship Id="rId16" Type="http://schemas.openxmlformats.org/officeDocument/2006/relationships/hyperlink" Target="https://it.andersen.com/en/the-new-italian-law-on-ai-practical-tips-to-comply-with-the-regulation/" TargetMode="External"/><Relationship Id="rId17" Type="http://schemas.openxmlformats.org/officeDocument/2006/relationships/hyperlink" Target="https://it.linkedin.com/pulse/il-giudicato-esterno-nel-processo-del-lavoro-magnanelli-ebn7f" TargetMode="External"/><Relationship Id="rId18" Type="http://schemas.openxmlformats.org/officeDocument/2006/relationships/hyperlink" Target="https://illej.unibo.it/article/view/20870" TargetMode="External"/><Relationship Id="rId19" Type="http://schemas.openxmlformats.org/officeDocument/2006/relationships/hyperlink" Target="https://ntplusdiritto.ilsole24ore.com/art/ia-generativa-garante-privacy-ammonisce-provider-e-utenti-AIzJI7dB" TargetMode="External"/><Relationship Id="rId20" Type="http://schemas.openxmlformats.org/officeDocument/2006/relationships/hyperlink" Target="https://consulentiprivacytorino.it/it/articoli/ai-e-privacy-dei-servizi-commerciali-verso-la-trasparenza-dellalgoritmo-sotto-il-controllo" TargetMode="External"/><Relationship Id="rId21" Type="http://schemas.openxmlformats.org/officeDocument/2006/relationships/hyperlink" Target="https://www.judicium.it/il-nuovo-diritto-di-accesso-ai-dati-alla-luce-del-data-act-da-strumento-di-protezione-della-persona-a-leva-di-equilibrio-del-mercato/" TargetMode="External"/><Relationship Id="rId22" Type="http://schemas.openxmlformats.org/officeDocument/2006/relationships/hyperlink" Target="https://tesi.luiss.it/38357/" TargetMode="External"/><Relationship Id="rId23" Type="http://schemas.openxmlformats.org/officeDocument/2006/relationships/hyperlink" Target="https://www.rivistaitalianadiinformaticaediritto.it/index.php/RIID/article/download/308/244/644" TargetMode="External"/><Relationship Id="rId24" Type="http://schemas.openxmlformats.org/officeDocument/2006/relationships/hyperlink" Target="https://www.studioclaudioscognamiglio.it/quali-sono-i-limiti-del-giudicato-della-sentenza-che-accerta-lillegittimita-del-licenziamento/" TargetMode="External"/><Relationship Id="rId25" Type="http://schemas.openxmlformats.org/officeDocument/2006/relationships/hyperlink" Target="https://www.federprivacy.org/informazione/primo-piano/il-ruolo-per-i-sindacati-nell-assetto-della-privacy-nelle-aziende" TargetMode="External"/><Relationship Id="rId26" Type="http://schemas.openxmlformats.org/officeDocument/2006/relationships/hyperlink" Target="https://www.medialaws.eu/consenso-intelligenza-artificiale-e-privacy-commento-a-corte-di-cassazione-sez-i-civ-25-05-2021-n-14381/" TargetMode="External"/><Relationship Id="rId27" Type="http://schemas.openxmlformats.org/officeDocument/2006/relationships/hyperlink" Target="https://www.01privacy.it/it/news/Il-datore-di-lavoro-deve-informare-dipendenti-e-sindacati-sugli-strumenti-di-AI-che-utilizza/338" TargetMode="External"/><Relationship Id="rId28" Type="http://schemas.openxmlformats.org/officeDocument/2006/relationships/hyperlink" Target="https://giurisapp.it/website/resources/tools/giurisolve-assistente-ai-casi-giuridici" TargetMode="External"/><Relationship Id="rId29" Type="http://schemas.openxmlformats.org/officeDocument/2006/relationships/hyperlink" Target="https://www.garanteprivacy.it/home/docweb/-/docweb-display/docweb/9855742" TargetMode="External"/><Relationship Id="rId30" Type="http://schemas.openxmlformats.org/officeDocument/2006/relationships/hyperlink" Target="https://www.lavorodirittieuropa.it/dottrina/principi-e-fonti/1898-diritto-del-lavoro-intelligenza-artificiale-e-prevedibilita-degli-esiti-giudiziali" TargetMode="External"/><Relationship Id="rId31" Type="http://schemas.openxmlformats.org/officeDocument/2006/relationships/hyperlink" Target="https://www.astrid-online.it/static/upload/crud/crudeli_fed_14_25.pdf" TargetMode="External"/><Relationship Id="rId32" Type="http://schemas.openxmlformats.org/officeDocument/2006/relationships/hyperlink" Target="https://eurocloud.org/news/article/national-ai-legislation-adopted-in-italy-a-first-look-at-privacy-implications/" TargetMode="External"/><Relationship Id="rId33" Type="http://schemas.openxmlformats.org/officeDocument/2006/relationships/hyperlink" Target="https://www.julia-project.eu/database/legislation/267" TargetMode="External"/><Relationship Id="rId34" Type="http://schemas.openxmlformats.org/officeDocument/2006/relationships/hyperlink" Target="https://knowledge.dlapiper.com/dlapiperknowledge/globalemploymentlatestdevelopments/2025/italian-senate-approves-new-law-on-ai-in-the-workplace" TargetMode="External"/><Relationship Id="rId35" Type="http://schemas.openxmlformats.org/officeDocument/2006/relationships/hyperlink" Target="https://securiti.ai/italy-ai-law-guide/" TargetMode="External"/><Relationship Id="rId36" Type="http://schemas.openxmlformats.org/officeDocument/2006/relationships/hyperlink" Target="https://www.hoganlovells.com/en/publications/copyright-provisions-in-the-new-italian-ailaw-reinforcing-human-authorship-and-text-and-data-mining" TargetMode="External"/><Relationship Id="rId37" Type="http://schemas.openxmlformats.org/officeDocument/2006/relationships/hyperlink" Target="https://www.europarl.europa.eu/RegData/etudes/STUD/2025/774670/EPRS_STU(2025)774670_EN.pdf" TargetMode="External"/><Relationship Id="rId38" Type="http://schemas.openxmlformats.org/officeDocument/2006/relationships/hyperlink" Target="https://portolano.it/en/newsletter/portolano-cavallo-inform-digital-ip/the-new-italian-ai-law-an-overview-new-developments-and-considerations" TargetMode="External"/><Relationship Id="rId39" Type="http://schemas.openxmlformats.org/officeDocument/2006/relationships/hyperlink" Target="https://www.delucapartners.it/en/pillar/labour-law-and-artificial-intelligence-risks-and-compliance/" TargetMode="External"/><Relationship Id="rId40" Type="http://schemas.openxmlformats.org/officeDocument/2006/relationships/hyperlink" Target="https://leglobal.law/countries/italy/looking-ahead-2025-italy/" TargetMode="External"/><Relationship Id="rId41" Type="http://schemas.openxmlformats.org/officeDocument/2006/relationships/hyperlink" Target="https://www.freshfields.com/en/our-thinking/blogs/technology-quotient/eu-ai-act-unpacked-29-italy-moves-on-ai-above-and-beyond-the-eu-ai-act-102l6qr" TargetMode="External"/><Relationship Id="rId42" Type="http://schemas.openxmlformats.org/officeDocument/2006/relationships/hyperlink" Target="https://cdn.digitaleurope.org/uploads/2025/10/DIGITALEUROPE-AI-in-the-workplace-recommendations-October-2025.pdf" TargetMode="External"/><Relationship Id="rId43" Type="http://schemas.openxmlformats.org/officeDocument/2006/relationships/hyperlink" Target="https://iclr.net/news/italian-senate-approves-new-law-on-artificial-intelligence-in-the-workplace/" TargetMode="External"/><Relationship Id="rId44" Type="http://schemas.openxmlformats.org/officeDocument/2006/relationships/hyperlink" Target="https://www.sib.it/en/flash-news/new-italian-law-on-ai-takes-effect-on-10-october-2025/" TargetMode="External"/><Relationship Id="rId45" Type="http://schemas.openxmlformats.org/officeDocument/2006/relationships/hyperlink" Target="https://www.klgates.com/Laws-Guidance-and-Recommendations-What-to-Consider-When-Using-AI-to-Hire-Employees-in-Italy-10-1-2024" TargetMode="External"/><Relationship Id="rId46" Type="http://schemas.openxmlformats.org/officeDocument/2006/relationships/hyperlink" Target="https://www.squirepattonboggs.com/insights/publications/italian-law-no-132-2025-the-first-domestic-law-in-the-european-union-on-the-use-of-artificial-intelligence/" TargetMode="External"/><Relationship Id="rId47" Type="http://schemas.openxmlformats.org/officeDocument/2006/relationships/hyperlink" Target="https://www.garanteprivacy.it/home/docweb/-/docweb-display/docweb/10132048" TargetMode="External"/><Relationship Id="rId48" Type="http://schemas.openxmlformats.org/officeDocument/2006/relationships/hyperlink" Target="https://www.trevisancuonzo.com/en/2026/04/italy-and-the-eu-ai-act-a-double-layer-of-obligations/" TargetMode="External"/><Relationship Id="rId49" Type="http://schemas.openxmlformats.org/officeDocument/2006/relationships/hyperlink" Target="https://www.klgates.com/AI-News-Italy-Sets-the-Rules-for-AI-in-the-Workplace-2-20-2026" TargetMode="External"/><Relationship Id="rId50" Type="http://schemas.openxmlformats.org/officeDocument/2006/relationships/hyperlink" Target="https://www.garanteprivacy.it/home/docweb/-/docweb-display/docweb/1147405" TargetMode="External"/><Relationship Id="rId51" Type="http://schemas.openxmlformats.org/officeDocument/2006/relationships/hyperlink" Target="https://www.dlapiper.com/it-it/insights/publications/innovation-law-insights/2024/innovation-law-insights-6-febbraio-2024" TargetMode="External"/><Relationship Id="rId52" Type="http://schemas.openxmlformats.org/officeDocument/2006/relationships/hyperlink" Target="https://dirittoaldigitale.com/2022/11/11/sanzione-privacy-protocollo-sicurezza-crittografato-https/" TargetMode="External"/><Relationship Id="rId53" Type="http://schemas.openxmlformats.org/officeDocument/2006/relationships/hyperlink" Target="https://www.instagram.com/p/DVyr__5iFFN/" TargetMode="External"/><Relationship Id="rId54" Type="http://schemas.openxmlformats.org/officeDocument/2006/relationships/hyperlink" Target="https://www.garanteprivacy.it/home/docweb/-/docweb-display/docweb/10167804" TargetMode="External"/><Relationship Id="rId55" Type="http://schemas.openxmlformats.org/officeDocument/2006/relationships/hyperlink" Target="https://www.studiolegalestefanelli.it/it/approfondimenti/sanzione-oppure-no-la-cassazione-chiarisce-i-termini-del-garante-privacy/" TargetMode="External"/><Relationship Id="rId56" Type="http://schemas.openxmlformats.org/officeDocument/2006/relationships/hyperlink" Target="https://citynext.it/2026/05/04/la-cina-frena-i-licenziamenti-causati-dallai-tribunale-di-hangzhou-boccia-unazienda-che-aveva-sostituito-un-manager-con-lintelligenza-artificiale/" TargetMode="External"/><Relationship Id="rId57" Type="http://schemas.openxmlformats.org/officeDocument/2006/relationships/hyperlink" Target="https://www.rivistastudio.com/cina-sentenza-intelligenza-artificiale-lavoro/" TargetMode="External"/><Relationship Id="rId58" Type="http://schemas.openxmlformats.org/officeDocument/2006/relationships/hyperlink" Target="https://magia.news/tribunale-cinese-vieta-licenziamenti-giustificati-ia/" TargetMode="External"/><Relationship Id="rId59" Type="http://schemas.openxmlformats.org/officeDocument/2006/relationships/hyperlink" Target="https://www.tomshw.it/hardware/cina-licenziamenti-ia-costa-meno" TargetMode="External"/><Relationship Id="rId60" Type="http://schemas.openxmlformats.org/officeDocument/2006/relationships/hyperlink" Target="https://www.open.online/2026/05/06/cina-vietato-licenziare-sostituire-lavoratori-ai-due-sentenze/" TargetMode="External"/><Relationship Id="rId61" Type="http://schemas.openxmlformats.org/officeDocument/2006/relationships/hyperlink" Target="https://www.the-bunker.it/2026/05/07/licenziamenti-per-colpa-dellia-la-cina-ribalta-tutto/" TargetMode="External"/><Relationship Id="rId62" Type="http://schemas.openxmlformats.org/officeDocument/2006/relationships/hyperlink" Target="https://www.editorialedomani.it/giustizia/ce-un-giudice-a-pechino-no-al-licenziamento-per-la-sostituzione-del-lavoratore-con-lintelligenza-artificiale-th2yxbwr" TargetMode="External"/><Relationship Id="rId63" Type="http://schemas.openxmlformats.org/officeDocument/2006/relationships/hyperlink" Target="https://www.quotidiano.net/tech/ai/il-tuo-capo-non-puo-buttarti-fuori-per-colpa-di-unia-lo-dice-un-tribunale-cinese-e-il-mondo-sta-a-guardare-ow05hhnb" TargetMode="External"/><Relationship Id="rId64" Type="http://schemas.openxmlformats.org/officeDocument/2006/relationships/hyperlink" Target="https://www.softwaregb.it/cina-sentenza-storica-del-tribunale-di-hangzhou-illegittimo-il-licenziamento-del-lavoratore-sostituito-da-ai/" TargetMode="External"/><Relationship Id="rId65" Type="http://schemas.openxmlformats.org/officeDocument/2006/relationships/hyperlink" Target="https://www.china-files.com/dialoghi-licenziamenti-nel-tech-e-aianxiety/" TargetMode="External"/><Relationship Id="rId66" Type="http://schemas.openxmlformats.org/officeDocument/2006/relationships/hyperlink" Target="https://www.matricedigitale.it/2026/05/03/cina-vieta-licenziamenti-ia-nvidia-droni-giappone/" TargetMode="External"/><Relationship Id="rId67" Type="http://schemas.openxmlformats.org/officeDocument/2006/relationships/hyperlink" Target="https://www.istitutoconfucio.unimi.it/2026/04/dialoghi-licenziamenti-nel-tech-e-aianxiety/" TargetMode="External"/><Relationship Id="rId68" Type="http://schemas.openxmlformats.org/officeDocument/2006/relationships/hyperlink" Target="https://www.maurizioblondet.it/cina-il-tribunale-vieta-licenziamenti-e-tagli-dello-stipendio-per-colpa-dellai-una-sentenza-che-fa-scuola/" TargetMode="External"/><Relationship Id="rId69" Type="http://schemas.openxmlformats.org/officeDocument/2006/relationships/hyperlink" Target="https://antonellas.substack.com/p/la-cina-orwelliana-che-difende-il" TargetMode="External"/><Relationship Id="rId70" Type="http://schemas.openxmlformats.org/officeDocument/2006/relationships/hyperlink" Target="https://citynext.it/2026/05/04/la-cina-frena-i-licenziamenti-causati-dallai-tribunale-di-hangzhou-boccia-unazienda-che-aveva-sostituito-un-manager-con-lintelligenza-artificiale/" TargetMode="External"/><Relationship Id="rId71" Type="http://schemas.openxmlformats.org/officeDocument/2006/relationships/hyperlink" Target="https://www.rivistastudio.com/cina-sentenza-intelligenza-artificiale-lavoro/" TargetMode="External"/><Relationship Id="rId72" Type="http://schemas.openxmlformats.org/officeDocument/2006/relationships/hyperlink" Target="https://www.open.online/2026/05/06/cina-vietato-licenziare-sostituire-lavoratori-ai-due-sentenze/" TargetMode="External"/><Relationship Id="rId73" Type="http://schemas.openxmlformats.org/officeDocument/2006/relationships/hyperlink" Target="https://www.delucapartners.it/en/insights/employers-are-required-to-inform-workers-about-the-use-of-artificial-intelligence/" TargetMode="External"/><Relationship Id="rId74" Type="http://schemas.openxmlformats.org/officeDocument/2006/relationships/hyperlink" Target="https://www.jdsupra.com/legalnews/ai-news-italy-sets-the-rules-for-ai-in-7550656/" TargetMode="External"/><Relationship Id="rId75" Type="http://schemas.openxmlformats.org/officeDocument/2006/relationships/hyperlink" Target="https://iris.unito.it/retrieve/1e9ee188-8cf1-48be-9d18-b1ca5e50ca5c/Gaudio%20&amp;%20Nogarede%20(2025)%20Worker%20Data%20Rights%20under%20the%20GDPR%20and%20beyond.pdf" TargetMode="External"/><Relationship Id="rId76" Type="http://schemas.openxmlformats.org/officeDocument/2006/relationships/hyperlink" Target="https://www.etuc.org/en/pressrelease/growing-ai-surveillance-workers-likely-illegal" TargetMode="External"/><Relationship Id="rId77" Type="http://schemas.openxmlformats.org/officeDocument/2006/relationships/hyperlink" Target="https://www.klgates.com/AI-News-Italy-Sets-the-Rules-for-AI-in-the-Workplace-2-20-2026" TargetMode="External"/><Relationship Id="rId78" Type="http://schemas.openxmlformats.org/officeDocument/2006/relationships/hyperlink" Target="https://www.delucapartners.it/en/pillar/labour-law-and-artificial-intelligence-risks-and-compliance/" TargetMode="External"/><Relationship Id="rId79" Type="http://schemas.openxmlformats.org/officeDocument/2006/relationships/hyperlink" Target="https://www.hr-link.it/intelligenza-artificiale-legge-132-2025-hr/" TargetMode="External"/><Relationship Id="rId80" Type="http://schemas.openxmlformats.org/officeDocument/2006/relationships/hyperlink" Target="https://thesis.unipd.it/handle/20.500.12608/89837" TargetMode="External"/><Relationship Id="rId81" Type="http://schemas.openxmlformats.org/officeDocument/2006/relationships/hyperlink" Target="https://www.studiolegalestefanelli.it/it/approfondimenti/intelligenza-artificiale-compliance-aziendale-231" TargetMode="External"/><Relationship Id="rId82" Type="http://schemas.openxmlformats.org/officeDocument/2006/relationships/hyperlink" Target="https://vocati.it/intelligenza-artificiale-e-lavoro-le-nuove-regole-per-la-gestione-delle-risorse-umane/" TargetMode="External"/><Relationship Id="rId83" Type="http://schemas.openxmlformats.org/officeDocument/2006/relationships/hyperlink" Target="https://www.fiscoetasse.com/new-rassegna-stampa/3042-uso-dellai-in-azienda-con-obbligo-di-trasparenza.html" TargetMode="External"/><Relationship Id="rId84" Type="http://schemas.openxmlformats.org/officeDocument/2006/relationships/hyperlink" Target="https://www.aidp.it/hronline/2026/3/5/legge-1322025-la-nuova-governance-dellia-per-la-funzione-hr.php" TargetMode="External"/><Relationship Id="rId85" Type="http://schemas.openxmlformats.org/officeDocument/2006/relationships/hyperlink" Target="https://www.assiv.it/ia-e-gestione-del-personale-divieti-e-limiti-al-social-scoring-tra-giurisprudenza-e-normativa-ue/" TargetMode="External"/><Relationship Id="rId86" Type="http://schemas.openxmlformats.org/officeDocument/2006/relationships/hyperlink" Target="https://www.lavorodirittieuropa.it/dottrina/principi-e-fonti/1663-l-impatto-dell-intelligenza-artificiale-sul-controllo-e-la-valutazione-della-prestazione-e-sull-esercizio-del-potere-disciplinare" TargetMode="External"/><Relationship Id="rId87" Type="http://schemas.openxmlformats.org/officeDocument/2006/relationships/hyperlink" Target="https://www.gility.it/blog/formazione-e-competenze/legge-ai-132-2025-guida-completa-alla-conformita" TargetMode="External"/><Relationship Id="rId88" Type="http://schemas.openxmlformats.org/officeDocument/2006/relationships/hyperlink" Target="https://www.kinetikon.com/ai-act-legge-italiana-ia-checklist-manager/" TargetMode="External"/><Relationship Id="rId89" Type="http://schemas.openxmlformats.org/officeDocument/2006/relationships/hyperlink" Target="https://tesi.luiss.it/40269/1/252491_TROISE_FEDERICA.pdf" TargetMode="External"/><Relationship Id="rId90" Type="http://schemas.openxmlformats.org/officeDocument/2006/relationships/hyperlink" Target="https://jelt.padovauniversitypress.it/system/files/papers/JELT-2021-2-06_4.pdf" TargetMode="External"/><Relationship Id="rId91" Type="http://schemas.openxmlformats.org/officeDocument/2006/relationships/hyperlink" Target="https://air.unimi.it/retrieve/d22a41f1-da4a-48fb-9e74-516b3afffcef/SARTORI,%20Intelligenza%20artificiale%20e%20rapporto%20di%20lavoro.pdf" TargetMode="External"/><Relationship Id="rId92" Type="http://schemas.openxmlformats.org/officeDocument/2006/relationships/hyperlink" Target="https://assodigit.it/insight-hr/legge-132-2025-cosa-cambia-per-imprese-e-hr-con-lintelligenza-artificiale/" TargetMode="External"/><Relationship Id="rId93" Type="http://schemas.openxmlformats.org/officeDocument/2006/relationships/hyperlink" Target="https://www.aidp.it/hronline/2026/3/5/legge-1322025-la-nuova-governance-dellia-per-la-funzione-hr.php" TargetMode="External"/><Relationship Id="rId94" Type="http://schemas.openxmlformats.org/officeDocument/2006/relationships/hyperlink" Target="https://www.fiscoetasse.com/new-rassegna-stampa/3042-uso-dellai-in-azienda-con-obbligo-di-trasparenza.html" TargetMode="External"/><Relationship Id="rId95" Type="http://schemas.openxmlformats.org/officeDocument/2006/relationships/hyperlink" Target="https://thesis.unipd.it/handle/20.500.12608/89837" TargetMode="External"/><Relationship Id="rId96" Type="http://schemas.openxmlformats.org/officeDocument/2006/relationships/hyperlink" Target="https://vocati.it/intelligenza-artificiale-e-lavoro-le-nuove-regole-per-la-gestione-delle-risorse-umane/" TargetMode="External"/><Relationship Id="rId97" Type="http://schemas.openxmlformats.org/officeDocument/2006/relationships/hyperlink" Target="https://www.studiolegalestefanelli.it/it/approfondimenti/intelligenza-artificiale-compliance-aziendale-231" TargetMode="External"/><Relationship Id="rId98" Type="http://schemas.openxmlformats.org/officeDocument/2006/relationships/hyperlink" Target="https://www.assiv.it/ia-e-gestione-del-personale-divieti-e-limiti-al-social-scoring-tra-giurisprudenza-e-normativa-ue/" TargetMode="External"/><Relationship Id="rId99" Type="http://schemas.openxmlformats.org/officeDocument/2006/relationships/hyperlink" Target="https://www.hr-link.it/intelligenza-artificiale-legge-132-2025-hr/"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2026-05-15T07:05:00.186Z</dcterms:created>
  <dcterms:modified xsi:type="dcterms:W3CDTF">2026-05-15T07:05:00.186Z</dcterms:modified>
</cp:coreProperties>
</file>