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8C0E" w14:textId="2B85E338" w:rsidR="00DB1ADA" w:rsidRDefault="00DB1ADA">
      <w:pPr>
        <w:pStyle w:val="Heading1"/>
        <w:jc w:val="center"/>
      </w:pPr>
      <w:bookmarkStart w:id="0" w:name="_590e9dkq3dyt" w:colFirst="0" w:colLast="0"/>
      <w:bookmarkEnd w:id="0"/>
      <w:r>
        <w:rPr>
          <w:noProof/>
        </w:rPr>
        <w:drawing>
          <wp:inline distT="0" distB="0" distL="0" distR="0" wp14:anchorId="2E694B8A" wp14:editId="1883BF08">
            <wp:extent cx="2598420" cy="3169920"/>
            <wp:effectExtent l="0" t="0" r="0" b="0"/>
            <wp:docPr id="943911224"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11224" name="Picture 1" descr="Logo, company name&#10;&#10;Description automatically generated"/>
                    <pic:cNvPicPr/>
                  </pic:nvPicPr>
                  <pic:blipFill>
                    <a:blip r:embed="rId7">
                      <a:extLst>
                        <a:ext uri="{28A0092B-C50C-407E-A947-70E740481C1C}">
                          <a14:useLocalDpi xmlns:a14="http://schemas.microsoft.com/office/drawing/2010/main"/>
                        </a:ext>
                      </a:extLst>
                    </a:blip>
                    <a:stretch>
                      <a:fillRect/>
                    </a:stretch>
                  </pic:blipFill>
                  <pic:spPr>
                    <a:xfrm>
                      <a:off x="0" y="0"/>
                      <a:ext cx="2598420" cy="3169920"/>
                    </a:xfrm>
                    <a:prstGeom prst="rect">
                      <a:avLst/>
                    </a:prstGeom>
                  </pic:spPr>
                </pic:pic>
              </a:graphicData>
            </a:graphic>
          </wp:inline>
        </w:drawing>
      </w:r>
    </w:p>
    <w:p w14:paraId="55C55A45" w14:textId="7BCA0117" w:rsidR="00DB1ADA" w:rsidRPr="00AE0864" w:rsidRDefault="00DB1ADA" w:rsidP="002D67D9">
      <w:pPr>
        <w:pStyle w:val="Heading2"/>
        <w:jc w:val="center"/>
        <w:rPr>
          <w:color w:val="4F81BD" w:themeColor="accent1"/>
          <w:u w:val="single"/>
        </w:rPr>
      </w:pPr>
      <w:bookmarkStart w:id="1" w:name="_Toc134710392"/>
      <w:r w:rsidRPr="00AE0864">
        <w:rPr>
          <w:noProof/>
          <w:color w:val="4F81BD" w:themeColor="accent1"/>
          <w:u w:val="single"/>
        </w:rPr>
        <w:t>MASTER OF APPLIED COMPUTING</w:t>
      </w:r>
      <w:bookmarkEnd w:id="1"/>
    </w:p>
    <w:p w14:paraId="6DA2F034" w14:textId="0F40F202" w:rsidR="00DB1ADA" w:rsidRDefault="00DB1ADA" w:rsidP="002D67D9">
      <w:pPr>
        <w:pStyle w:val="Heading2"/>
        <w:jc w:val="center"/>
        <w:rPr>
          <w:color w:val="4F81BD" w:themeColor="accent1"/>
          <w:u w:val="single"/>
        </w:rPr>
      </w:pPr>
      <w:bookmarkStart w:id="2" w:name="_Toc134710393"/>
      <w:r w:rsidRPr="002D67D9">
        <w:rPr>
          <w:color w:val="4F81BD" w:themeColor="accent1"/>
          <w:u w:val="single"/>
        </w:rPr>
        <w:t>COMP 8</w:t>
      </w:r>
      <w:bookmarkEnd w:id="2"/>
      <w:r w:rsidRPr="002D67D9">
        <w:rPr>
          <w:color w:val="4F81BD" w:themeColor="accent1"/>
          <w:u w:val="single"/>
        </w:rPr>
        <w:t>157</w:t>
      </w:r>
      <w:bookmarkStart w:id="3" w:name="_Toc134710394"/>
      <w:r w:rsidR="002D67D9">
        <w:rPr>
          <w:color w:val="4F81BD" w:themeColor="accent1"/>
          <w:u w:val="single"/>
        </w:rPr>
        <w:t xml:space="preserve"> </w:t>
      </w:r>
      <w:r w:rsidRPr="002D67D9">
        <w:rPr>
          <w:color w:val="4F81BD" w:themeColor="accent1"/>
          <w:u w:val="single"/>
        </w:rPr>
        <w:t xml:space="preserve">ADVANCED DATABASE </w:t>
      </w:r>
      <w:bookmarkEnd w:id="3"/>
      <w:r w:rsidR="00EC12EA" w:rsidRPr="002D67D9">
        <w:rPr>
          <w:color w:val="4F81BD" w:themeColor="accent1"/>
          <w:u w:val="single"/>
        </w:rPr>
        <w:t>TOPICS</w:t>
      </w:r>
    </w:p>
    <w:p w14:paraId="48993989" w14:textId="77777777" w:rsidR="002D67D9" w:rsidRPr="002D67D9" w:rsidRDefault="002D67D9" w:rsidP="002D67D9"/>
    <w:p w14:paraId="1EE5EE35" w14:textId="3943CA5C" w:rsidR="00DB1ADA" w:rsidRDefault="00DB1ADA" w:rsidP="00DB1ADA">
      <w:pPr>
        <w:pStyle w:val="Heading2"/>
        <w:jc w:val="center"/>
        <w:rPr>
          <w:b/>
          <w:bCs/>
          <w:noProof/>
          <w:color w:val="4F81BD" w:themeColor="accent1"/>
          <w:u w:val="single"/>
        </w:rPr>
      </w:pPr>
      <w:r w:rsidRPr="00AE0864">
        <w:rPr>
          <w:b/>
          <w:bCs/>
          <w:noProof/>
          <w:color w:val="4F81BD" w:themeColor="accent1"/>
          <w:u w:val="single"/>
        </w:rPr>
        <w:t>PROJECT PROPOSAL</w:t>
      </w:r>
    </w:p>
    <w:p w14:paraId="70E45AC9" w14:textId="77777777" w:rsidR="002D67D9" w:rsidRDefault="002D67D9" w:rsidP="002D67D9"/>
    <w:p w14:paraId="3D0B4C6D" w14:textId="3941188F" w:rsidR="002D67D9" w:rsidRPr="002D67D9" w:rsidRDefault="002D67D9" w:rsidP="002D67D9">
      <w:pPr>
        <w:pStyle w:val="Heading3"/>
        <w:jc w:val="center"/>
        <w:rPr>
          <w:b/>
          <w:bCs/>
          <w:color w:val="4F81BD" w:themeColor="accent1"/>
        </w:rPr>
      </w:pPr>
      <w:r w:rsidRPr="002D67D9">
        <w:rPr>
          <w:b/>
          <w:bCs/>
          <w:color w:val="4F81BD" w:themeColor="accent1"/>
        </w:rPr>
        <w:t>GOAL 4</w:t>
      </w:r>
      <w:r>
        <w:rPr>
          <w:b/>
          <w:bCs/>
          <w:color w:val="4F81BD" w:themeColor="accent1"/>
        </w:rPr>
        <w:t>: QUALITY EDUCATION</w:t>
      </w:r>
    </w:p>
    <w:p w14:paraId="635158A1" w14:textId="5BA11753" w:rsidR="002D67D9" w:rsidRPr="00334A2F" w:rsidRDefault="002D67D9" w:rsidP="002D67D9">
      <w:pPr>
        <w:jc w:val="center"/>
        <w:rPr>
          <w:b/>
          <w:bCs/>
          <w:color w:val="4F81BD" w:themeColor="accent1"/>
          <w:sz w:val="28"/>
          <w:szCs w:val="28"/>
          <w:u w:val="single"/>
        </w:rPr>
      </w:pPr>
      <w:r w:rsidRPr="00334A2F">
        <w:rPr>
          <w:rStyle w:val="ui-provider"/>
          <w:b/>
          <w:bCs/>
          <w:color w:val="4F81BD" w:themeColor="accent1"/>
          <w:sz w:val="28"/>
          <w:szCs w:val="28"/>
          <w:u w:val="single"/>
        </w:rPr>
        <w:t>Addressing Educational Disparities: Assessing the Gap for Indigenous Community</w:t>
      </w:r>
    </w:p>
    <w:p w14:paraId="2009D03F" w14:textId="77777777" w:rsidR="00DB1ADA" w:rsidRPr="002D67D9" w:rsidRDefault="00DB1ADA" w:rsidP="00DB1ADA">
      <w:pPr>
        <w:rPr>
          <w:b/>
          <w:bCs/>
          <w:color w:val="4F81BD" w:themeColor="accent1"/>
          <w:u w:val="single"/>
        </w:rPr>
      </w:pPr>
    </w:p>
    <w:tbl>
      <w:tblPr>
        <w:tblW w:w="9493"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4692"/>
        <w:gridCol w:w="4801"/>
      </w:tblGrid>
      <w:tr w:rsidR="000E52E8" w14:paraId="387C49D5" w14:textId="77777777" w:rsidTr="007221E8">
        <w:trPr>
          <w:trHeight w:val="542"/>
        </w:trPr>
        <w:tc>
          <w:tcPr>
            <w:tcW w:w="9493" w:type="dxa"/>
            <w:gridSpan w:val="2"/>
            <w:shd w:val="clear" w:color="auto" w:fill="B4C6E7"/>
          </w:tcPr>
          <w:p w14:paraId="2ECE3963" w14:textId="7D03CCA6" w:rsidR="000E52E8" w:rsidRDefault="000E52E8" w:rsidP="000E52E8">
            <w:pPr>
              <w:jc w:val="center"/>
              <w:rPr>
                <w:rFonts w:ascii="Times New Roman" w:eastAsia="Times New Roman" w:hAnsi="Times New Roman" w:cs="Times New Roman"/>
                <w:color w:val="000000"/>
              </w:rPr>
            </w:pPr>
            <w:r w:rsidRPr="00290D8C">
              <w:rPr>
                <w:rFonts w:ascii="Times New Roman" w:eastAsia="Times New Roman" w:hAnsi="Times New Roman" w:cs="Times New Roman"/>
                <w:b/>
                <w:bCs/>
                <w:color w:val="000000"/>
                <w:sz w:val="28"/>
                <w:szCs w:val="28"/>
              </w:rPr>
              <w:t>Group 3</w:t>
            </w:r>
          </w:p>
        </w:tc>
      </w:tr>
      <w:tr w:rsidR="0076153A" w14:paraId="39D55AA1" w14:textId="77777777" w:rsidTr="008A5E39">
        <w:trPr>
          <w:trHeight w:val="427"/>
        </w:trPr>
        <w:tc>
          <w:tcPr>
            <w:tcW w:w="4692" w:type="dxa"/>
          </w:tcPr>
          <w:p w14:paraId="13293311" w14:textId="14AA27D0" w:rsidR="0076153A" w:rsidRPr="000E52E8" w:rsidRDefault="0076153A" w:rsidP="00A2431D">
            <w:pPr>
              <w:rPr>
                <w:rFonts w:ascii="Times New Roman" w:eastAsia="Times New Roman" w:hAnsi="Times New Roman" w:cs="Times New Roman"/>
                <w:b/>
                <w:bCs/>
                <w:color w:val="000000"/>
              </w:rPr>
            </w:pPr>
            <w:r w:rsidRPr="000E52E8">
              <w:rPr>
                <w:rStyle w:val="normaltextrun"/>
                <w:rFonts w:ascii="Calibri" w:hAnsi="Calibri" w:cs="Calibri"/>
                <w:b/>
                <w:bCs/>
                <w:color w:val="000000"/>
                <w:shd w:val="clear" w:color="auto" w:fill="FFFFFF"/>
              </w:rPr>
              <w:t xml:space="preserve">Abhirup </w:t>
            </w:r>
            <w:r w:rsidRPr="000E52E8">
              <w:rPr>
                <w:rStyle w:val="normaltextrun"/>
                <w:rFonts w:ascii="Calibri" w:hAnsi="Calibri" w:cs="Calibri"/>
                <w:b/>
                <w:bCs/>
                <w:shd w:val="clear" w:color="auto" w:fill="FFFFFF"/>
              </w:rPr>
              <w:t>Ranjan</w:t>
            </w:r>
          </w:p>
        </w:tc>
        <w:tc>
          <w:tcPr>
            <w:tcW w:w="4801" w:type="dxa"/>
          </w:tcPr>
          <w:p w14:paraId="2E98DFFB" w14:textId="2F239A37" w:rsidR="0076153A" w:rsidRPr="000E52E8" w:rsidRDefault="0076153A" w:rsidP="00A2431D">
            <w:pPr>
              <w:rPr>
                <w:rFonts w:ascii="Times New Roman" w:eastAsia="Times New Roman" w:hAnsi="Times New Roman" w:cs="Times New Roman"/>
                <w:b/>
                <w:bCs/>
                <w:color w:val="000000"/>
              </w:rPr>
            </w:pPr>
            <w:r w:rsidRPr="000E52E8">
              <w:rPr>
                <w:rStyle w:val="normaltextrun"/>
                <w:rFonts w:ascii="Calibri" w:hAnsi="Calibri" w:cs="Calibri"/>
                <w:b/>
                <w:bCs/>
                <w:color w:val="000000"/>
                <w:shd w:val="clear" w:color="auto" w:fill="FFFFFF"/>
              </w:rPr>
              <w:t>110091866</w:t>
            </w:r>
          </w:p>
        </w:tc>
      </w:tr>
      <w:tr w:rsidR="0076153A" w14:paraId="4D2F42E0" w14:textId="77777777" w:rsidTr="008A5E39">
        <w:trPr>
          <w:trHeight w:val="427"/>
        </w:trPr>
        <w:tc>
          <w:tcPr>
            <w:tcW w:w="4692" w:type="dxa"/>
          </w:tcPr>
          <w:p w14:paraId="7DE1C36D" w14:textId="21BC21D0" w:rsidR="0076153A" w:rsidRPr="000E52E8" w:rsidRDefault="0076153A" w:rsidP="00A2431D">
            <w:pPr>
              <w:rPr>
                <w:rFonts w:ascii="Times New Roman" w:eastAsia="Times New Roman" w:hAnsi="Times New Roman" w:cs="Times New Roman"/>
                <w:b/>
                <w:bCs/>
                <w:color w:val="000000"/>
              </w:rPr>
            </w:pPr>
            <w:r w:rsidRPr="000E52E8">
              <w:rPr>
                <w:rFonts w:ascii="Times New Roman" w:eastAsia="Times New Roman" w:hAnsi="Times New Roman" w:cs="Times New Roman"/>
                <w:b/>
                <w:bCs/>
                <w:color w:val="000000"/>
              </w:rPr>
              <w:t>Anika Anjum Una</w:t>
            </w:r>
          </w:p>
        </w:tc>
        <w:tc>
          <w:tcPr>
            <w:tcW w:w="4801" w:type="dxa"/>
          </w:tcPr>
          <w:p w14:paraId="59131C3D" w14:textId="43DC9C03" w:rsidR="0076153A" w:rsidRPr="000E52E8" w:rsidRDefault="0076153A" w:rsidP="00A2431D">
            <w:pPr>
              <w:rPr>
                <w:rFonts w:ascii="Times New Roman" w:eastAsia="Times New Roman" w:hAnsi="Times New Roman" w:cs="Times New Roman"/>
                <w:b/>
                <w:bCs/>
                <w:color w:val="000000"/>
              </w:rPr>
            </w:pPr>
            <w:r w:rsidRPr="000E52E8">
              <w:rPr>
                <w:rFonts w:ascii="Times New Roman" w:eastAsia="Times New Roman" w:hAnsi="Times New Roman" w:cs="Times New Roman"/>
                <w:b/>
                <w:bCs/>
                <w:color w:val="000000"/>
              </w:rPr>
              <w:t>110097185</w:t>
            </w:r>
          </w:p>
        </w:tc>
      </w:tr>
      <w:tr w:rsidR="0076153A" w14:paraId="657C9BF1" w14:textId="77777777" w:rsidTr="008A5E39">
        <w:trPr>
          <w:trHeight w:val="427"/>
        </w:trPr>
        <w:tc>
          <w:tcPr>
            <w:tcW w:w="4692" w:type="dxa"/>
          </w:tcPr>
          <w:p w14:paraId="15E110EC" w14:textId="71911578" w:rsidR="0076153A" w:rsidRPr="000E52E8" w:rsidRDefault="0076153A" w:rsidP="00A2431D">
            <w:pPr>
              <w:rPr>
                <w:rFonts w:ascii="Times New Roman" w:eastAsia="Times New Roman" w:hAnsi="Times New Roman" w:cs="Times New Roman"/>
                <w:b/>
                <w:bCs/>
                <w:color w:val="000000"/>
              </w:rPr>
            </w:pPr>
            <w:r w:rsidRPr="000E52E8">
              <w:rPr>
                <w:rStyle w:val="normaltextrun"/>
                <w:rFonts w:ascii="Calibri" w:hAnsi="Calibri" w:cs="Calibri"/>
                <w:b/>
                <w:bCs/>
                <w:color w:val="000000"/>
                <w:bdr w:val="none" w:sz="0" w:space="0" w:color="auto" w:frame="1"/>
              </w:rPr>
              <w:t>Neel Manish Pandya</w:t>
            </w:r>
          </w:p>
        </w:tc>
        <w:tc>
          <w:tcPr>
            <w:tcW w:w="4801" w:type="dxa"/>
          </w:tcPr>
          <w:p w14:paraId="7652E734" w14:textId="10BAA177" w:rsidR="0076153A" w:rsidRPr="000E52E8" w:rsidRDefault="0076153A" w:rsidP="00A2431D">
            <w:pPr>
              <w:rPr>
                <w:rFonts w:ascii="Times New Roman" w:eastAsia="Times New Roman" w:hAnsi="Times New Roman" w:cs="Times New Roman"/>
                <w:b/>
                <w:bCs/>
                <w:color w:val="000000"/>
              </w:rPr>
            </w:pPr>
            <w:r w:rsidRPr="000E52E8">
              <w:rPr>
                <w:rStyle w:val="normaltextrun"/>
                <w:rFonts w:ascii="Calibri" w:hAnsi="Calibri" w:cs="Calibri"/>
                <w:b/>
                <w:bCs/>
                <w:color w:val="000000"/>
                <w:shd w:val="clear" w:color="auto" w:fill="FFFFFF"/>
              </w:rPr>
              <w:t>110095825</w:t>
            </w:r>
            <w:r w:rsidRPr="000E52E8">
              <w:rPr>
                <w:rStyle w:val="eop"/>
                <w:rFonts w:ascii="Calibri" w:hAnsi="Calibri" w:cs="Calibri"/>
                <w:b/>
                <w:bCs/>
                <w:color w:val="000000"/>
                <w:shd w:val="clear" w:color="auto" w:fill="FFFFFF"/>
              </w:rPr>
              <w:t> </w:t>
            </w:r>
          </w:p>
        </w:tc>
      </w:tr>
      <w:tr w:rsidR="0076153A" w14:paraId="7A3F7564" w14:textId="77777777" w:rsidTr="008A5E39">
        <w:trPr>
          <w:trHeight w:val="427"/>
        </w:trPr>
        <w:tc>
          <w:tcPr>
            <w:tcW w:w="4692" w:type="dxa"/>
          </w:tcPr>
          <w:p w14:paraId="532B073C" w14:textId="06CF094D" w:rsidR="0076153A" w:rsidRPr="000E52E8" w:rsidRDefault="0076153A" w:rsidP="00A2431D">
            <w:pPr>
              <w:rPr>
                <w:rFonts w:ascii="Times New Roman" w:eastAsia="Times New Roman" w:hAnsi="Times New Roman" w:cs="Times New Roman"/>
                <w:b/>
                <w:bCs/>
                <w:color w:val="000000"/>
              </w:rPr>
            </w:pPr>
            <w:r w:rsidRPr="000E52E8">
              <w:rPr>
                <w:rStyle w:val="normaltextrun"/>
                <w:rFonts w:ascii="Calibri" w:hAnsi="Calibri" w:cs="Calibri"/>
                <w:b/>
                <w:bCs/>
                <w:color w:val="000000"/>
                <w:shd w:val="clear" w:color="auto" w:fill="FFFFFF"/>
              </w:rPr>
              <w:t>Viutika Rathod</w:t>
            </w:r>
            <w:r w:rsidRPr="000E52E8">
              <w:rPr>
                <w:rStyle w:val="eop"/>
                <w:rFonts w:ascii="Calibri" w:hAnsi="Calibri" w:cs="Calibri"/>
                <w:b/>
                <w:bCs/>
                <w:color w:val="000000"/>
                <w:shd w:val="clear" w:color="auto" w:fill="FFFFFF"/>
              </w:rPr>
              <w:t> </w:t>
            </w:r>
          </w:p>
        </w:tc>
        <w:tc>
          <w:tcPr>
            <w:tcW w:w="4801" w:type="dxa"/>
          </w:tcPr>
          <w:p w14:paraId="34C164A9" w14:textId="76F4D197" w:rsidR="0076153A" w:rsidRPr="000E52E8" w:rsidRDefault="008A5E39" w:rsidP="00A2431D">
            <w:pPr>
              <w:rPr>
                <w:rFonts w:ascii="Times New Roman" w:eastAsia="Times New Roman" w:hAnsi="Times New Roman" w:cs="Times New Roman"/>
                <w:b/>
                <w:bCs/>
                <w:color w:val="000000"/>
              </w:rPr>
            </w:pPr>
            <w:r w:rsidRPr="000E52E8">
              <w:rPr>
                <w:rStyle w:val="normaltextrun"/>
                <w:rFonts w:ascii="Calibri" w:hAnsi="Calibri" w:cs="Calibri"/>
                <w:b/>
                <w:bCs/>
                <w:color w:val="000000"/>
                <w:shd w:val="clear" w:color="auto" w:fill="FFFFFF"/>
              </w:rPr>
              <w:t>110094621</w:t>
            </w:r>
            <w:r w:rsidRPr="000E52E8">
              <w:rPr>
                <w:rStyle w:val="eop"/>
                <w:rFonts w:ascii="Calibri" w:hAnsi="Calibri" w:cs="Calibri"/>
                <w:b/>
                <w:bCs/>
                <w:color w:val="000000"/>
                <w:shd w:val="clear" w:color="auto" w:fill="FFFFFF"/>
              </w:rPr>
              <w:t> </w:t>
            </w:r>
          </w:p>
        </w:tc>
      </w:tr>
    </w:tbl>
    <w:p w14:paraId="00000003" w14:textId="77777777" w:rsidR="004525D7" w:rsidRDefault="00DC374E">
      <w:pPr>
        <w:pStyle w:val="Heading2"/>
      </w:pPr>
      <w:bookmarkStart w:id="4" w:name="_q5m3a9qcb163" w:colFirst="0" w:colLast="0"/>
      <w:bookmarkStart w:id="5" w:name="_qg9r1arfqzfu" w:colFirst="0" w:colLast="0"/>
      <w:bookmarkEnd w:id="4"/>
      <w:bookmarkEnd w:id="5"/>
      <w:r>
        <w:lastRenderedPageBreak/>
        <w:t>Abstract</w:t>
      </w:r>
    </w:p>
    <w:p w14:paraId="00000004" w14:textId="6B6BD50D" w:rsidR="004525D7" w:rsidRDefault="00DC374E">
      <w:pPr>
        <w:jc w:val="both"/>
        <w:rPr>
          <w:rFonts w:ascii="Calibri" w:eastAsia="Calibri" w:hAnsi="Calibri" w:cs="Calibri"/>
        </w:rPr>
      </w:pPr>
      <w:r>
        <w:rPr>
          <w:rFonts w:ascii="Calibri" w:eastAsia="Calibri" w:hAnsi="Calibri" w:cs="Calibri"/>
        </w:rPr>
        <w:t>This paper proposal aims to address the continual disparities in education in Canada faced by Indigenous students by utilization of exhaustive inspection and analysis of Indigenous Data Management. The influence of a diverse range of factors such as historical trauma, socio-economic challenges, cultural limitations, prejudice, and a lack of support networks resulted in high dropout rates among Indigenous students. The underlying concern falls in the persistent inequality in terms of resource allocation and funding to their schools and communities, limiting the opportunity to effective education</w:t>
      </w:r>
      <w:r w:rsidR="00C0577E">
        <w:rPr>
          <w:rFonts w:ascii="Calibri" w:eastAsia="Calibri" w:hAnsi="Calibri" w:cs="Calibri"/>
        </w:rPr>
        <w:t xml:space="preserve"> [1]</w:t>
      </w:r>
      <w:r>
        <w:rPr>
          <w:rFonts w:ascii="Calibri" w:eastAsia="Calibri" w:hAnsi="Calibri" w:cs="Calibri"/>
        </w:rPr>
        <w:t>. Our management system proposes a distinctive solution through creating a detailed system which is going to include tailored data collections using non-relational databases that will account for cultural identity, language proficiency, and community involvement, offering an integrated knowledge of students' experiences and challenges. Offering the incorporation of Indigenous data governance principles, assuring ownership and control to the community over the data. The paper aspires to empower Indigenous societies, enhance educational equity, and assist in closing the educational gap for Indigenous students in Canada</w:t>
      </w:r>
      <w:r w:rsidR="00743C99">
        <w:rPr>
          <w:rFonts w:ascii="Calibri" w:eastAsia="Calibri" w:hAnsi="Calibri" w:cs="Calibri"/>
        </w:rPr>
        <w:t xml:space="preserve"> [2] [3]</w:t>
      </w:r>
      <w:r>
        <w:rPr>
          <w:rFonts w:ascii="Calibri" w:eastAsia="Calibri" w:hAnsi="Calibri" w:cs="Calibri"/>
        </w:rPr>
        <w:t>.</w:t>
      </w:r>
    </w:p>
    <w:p w14:paraId="00000005" w14:textId="77777777" w:rsidR="004525D7" w:rsidRDefault="00DC374E" w:rsidP="00E04B74">
      <w:pPr>
        <w:pStyle w:val="Heading2"/>
        <w:spacing w:before="120" w:after="0"/>
      </w:pPr>
      <w:bookmarkStart w:id="6" w:name="_sblttf9coj9" w:colFirst="0" w:colLast="0"/>
      <w:bookmarkEnd w:id="6"/>
      <w:r>
        <w:t>Problem Description</w:t>
      </w:r>
    </w:p>
    <w:p w14:paraId="00000006" w14:textId="5BED6B1D" w:rsidR="004525D7" w:rsidRPr="00A24AF9" w:rsidRDefault="00A24AF9" w:rsidP="00E04B74">
      <w:pPr>
        <w:spacing w:before="120"/>
        <w:jc w:val="both"/>
        <w:rPr>
          <w:rFonts w:asciiTheme="majorHAnsi" w:eastAsia="Calibri" w:hAnsiTheme="majorHAnsi" w:cstheme="majorHAnsi"/>
        </w:rPr>
      </w:pPr>
      <w:r w:rsidRPr="00A24AF9">
        <w:rPr>
          <w:rStyle w:val="ui-provider"/>
          <w:rFonts w:asciiTheme="majorHAnsi" w:hAnsiTheme="majorHAnsi" w:cstheme="majorHAnsi"/>
        </w:rPr>
        <w:t>Native communities</w:t>
      </w:r>
      <w:r w:rsidR="00E00627">
        <w:rPr>
          <w:rStyle w:val="ui-provider"/>
          <w:rFonts w:asciiTheme="majorHAnsi" w:hAnsiTheme="majorHAnsi" w:cstheme="majorHAnsi"/>
        </w:rPr>
        <w:t xml:space="preserve"> </w:t>
      </w:r>
      <w:r>
        <w:rPr>
          <w:rStyle w:val="ui-provider"/>
          <w:rFonts w:asciiTheme="majorHAnsi" w:hAnsiTheme="majorHAnsi" w:cstheme="majorHAnsi"/>
        </w:rPr>
        <w:t>(Indigenous people)</w:t>
      </w:r>
      <w:r w:rsidRPr="00A24AF9">
        <w:rPr>
          <w:rStyle w:val="ui-provider"/>
          <w:rFonts w:asciiTheme="majorHAnsi" w:hAnsiTheme="majorHAnsi" w:cstheme="majorHAnsi"/>
        </w:rPr>
        <w:t xml:space="preserve"> in Canada have much higher dropout rates than non-Aboriginal communities</w:t>
      </w:r>
      <w:r w:rsidR="00E00627">
        <w:rPr>
          <w:rStyle w:val="ui-provider"/>
          <w:rFonts w:asciiTheme="majorHAnsi" w:hAnsiTheme="majorHAnsi" w:cstheme="majorHAnsi"/>
        </w:rPr>
        <w:t xml:space="preserve"> </w:t>
      </w:r>
      <w:r>
        <w:rPr>
          <w:rStyle w:val="ui-provider"/>
          <w:rFonts w:asciiTheme="majorHAnsi" w:hAnsiTheme="majorHAnsi" w:cstheme="majorHAnsi"/>
        </w:rPr>
        <w:t>(non-indigenous people)</w:t>
      </w:r>
      <w:r w:rsidRPr="00A24AF9">
        <w:rPr>
          <w:rStyle w:val="ui-provider"/>
          <w:rFonts w:asciiTheme="majorHAnsi" w:hAnsiTheme="majorHAnsi" w:cstheme="majorHAnsi"/>
        </w:rPr>
        <w:t>. A few factors contribute to this issue, counting authentic and intergenerational impacts, financial imbalance, social marginalization, segregation, need of back systems, and geographic boundaries.</w:t>
      </w:r>
      <w:r w:rsidRPr="00A24AF9">
        <w:rPr>
          <w:rFonts w:asciiTheme="majorHAnsi" w:eastAsia="Calibri" w:hAnsiTheme="majorHAnsi" w:cstheme="majorHAnsi"/>
        </w:rPr>
        <w:t xml:space="preserve"> These components limit the access to quality education for Indigenous students, lowering educational achievement to a minimum compared to general citizens of Canada</w:t>
      </w:r>
      <w:r w:rsidR="00743C99">
        <w:rPr>
          <w:rFonts w:asciiTheme="majorHAnsi" w:eastAsia="Calibri" w:hAnsiTheme="majorHAnsi" w:cstheme="majorHAnsi"/>
        </w:rPr>
        <w:t xml:space="preserve"> [4]</w:t>
      </w:r>
      <w:r w:rsidR="001B43C9">
        <w:rPr>
          <w:rFonts w:asciiTheme="majorHAnsi" w:eastAsia="Calibri" w:hAnsiTheme="majorHAnsi" w:cstheme="majorHAnsi"/>
        </w:rPr>
        <w:t xml:space="preserve"> </w:t>
      </w:r>
      <w:r w:rsidR="00E04B74">
        <w:rPr>
          <w:rFonts w:asciiTheme="majorHAnsi" w:eastAsia="Calibri" w:hAnsiTheme="majorHAnsi" w:cstheme="majorHAnsi"/>
        </w:rPr>
        <w:t>[6]</w:t>
      </w:r>
      <w:r w:rsidRPr="00A24AF9">
        <w:rPr>
          <w:rFonts w:asciiTheme="majorHAnsi" w:eastAsia="Calibri" w:hAnsiTheme="majorHAnsi" w:cstheme="majorHAnsi"/>
        </w:rPr>
        <w:t xml:space="preserve">. </w:t>
      </w:r>
    </w:p>
    <w:p w14:paraId="00000007" w14:textId="74E361F9" w:rsidR="004525D7" w:rsidRDefault="00DC374E">
      <w:pPr>
        <w:jc w:val="both"/>
        <w:rPr>
          <w:rFonts w:ascii="Calibri" w:eastAsia="Calibri" w:hAnsi="Calibri" w:cs="Calibri"/>
        </w:rPr>
      </w:pPr>
      <w:r>
        <w:rPr>
          <w:rFonts w:ascii="Calibri" w:eastAsia="Calibri" w:hAnsi="Calibri" w:cs="Calibri"/>
        </w:rPr>
        <w:t>Post-secondary education (PSE), a recognized treaty right for Indigenous students. Nonetheless, the legacy of colonialism, residential schools, racism, and insufficient funding barricades and limits the access to the treaty right of PSE. Indigenous students above 16,000 in Ontario enrolls to public colleges and universities which is almost half of the post-secondary students in Canada. However, the inadequacy of funding and access difficulty in Ontario results in a prominent disparity in the field of education</w:t>
      </w:r>
      <w:r w:rsidR="00743C99">
        <w:rPr>
          <w:rFonts w:ascii="Calibri" w:eastAsia="Calibri" w:hAnsi="Calibri" w:cs="Calibri"/>
        </w:rPr>
        <w:t xml:space="preserve"> [5]</w:t>
      </w:r>
      <w:r>
        <w:rPr>
          <w:rFonts w:ascii="Calibri" w:eastAsia="Calibri" w:hAnsi="Calibri" w:cs="Calibri"/>
        </w:rPr>
        <w:t>.</w:t>
      </w:r>
    </w:p>
    <w:p w14:paraId="00000008" w14:textId="6E93D32B" w:rsidR="004525D7" w:rsidRDefault="00DC374E">
      <w:pPr>
        <w:jc w:val="both"/>
        <w:rPr>
          <w:rFonts w:ascii="Calibri" w:eastAsia="Calibri" w:hAnsi="Calibri" w:cs="Calibri"/>
        </w:rPr>
      </w:pPr>
      <w:r>
        <w:rPr>
          <w:rFonts w:ascii="Calibri" w:eastAsia="Calibri" w:hAnsi="Calibri" w:cs="Calibri"/>
        </w:rPr>
        <w:t xml:space="preserve">Even though there </w:t>
      </w:r>
      <w:r w:rsidR="00FD2DB3">
        <w:rPr>
          <w:rFonts w:ascii="Calibri" w:eastAsia="Calibri" w:hAnsi="Calibri" w:cs="Calibri"/>
        </w:rPr>
        <w:t>have</w:t>
      </w:r>
      <w:r>
        <w:rPr>
          <w:rFonts w:ascii="Calibri" w:eastAsia="Calibri" w:hAnsi="Calibri" w:cs="Calibri"/>
        </w:rPr>
        <w:t xml:space="preserve"> been multiple efforts to distribute culturally relevant educational curriculum through significant institutes by Indigenous communities, these students face substantial underfunding, and they also face the shortage of necessary infrastructure and services.  There is a need to refine the practices to teach Indigenous students by non-Indigenous institutions</w:t>
      </w:r>
      <w:r w:rsidR="00E04B74">
        <w:rPr>
          <w:rFonts w:ascii="Calibri" w:eastAsia="Calibri" w:hAnsi="Calibri" w:cs="Calibri"/>
        </w:rPr>
        <w:t xml:space="preserve"> [7]</w:t>
      </w:r>
      <w:r>
        <w:rPr>
          <w:rFonts w:ascii="Calibri" w:eastAsia="Calibri" w:hAnsi="Calibri" w:cs="Calibri"/>
        </w:rPr>
        <w:t xml:space="preserve">. Moreover, these institutes need to incorporate Indigenous history, cultures and perspectives including tackling racism and marginalization. </w:t>
      </w:r>
    </w:p>
    <w:p w14:paraId="00000009" w14:textId="1AB5F7A6" w:rsidR="004525D7" w:rsidRDefault="00DC374E">
      <w:pPr>
        <w:jc w:val="both"/>
        <w:rPr>
          <w:rFonts w:ascii="Calibri" w:eastAsia="Calibri" w:hAnsi="Calibri" w:cs="Calibri"/>
        </w:rPr>
      </w:pPr>
      <w:r>
        <w:rPr>
          <w:rFonts w:ascii="Calibri" w:eastAsia="Calibri" w:hAnsi="Calibri" w:cs="Calibri"/>
        </w:rPr>
        <w:t>It is extremely essential to address funding disparities and improve serving practice in non-Indigenous institutions which is how we can ensure equitable access to effective post-secondary education and provide substantial funding for Indigenous Institutes. Single funding approaches presently in Canada are not sufficient for ongoing programs and services. Enough funding is a necessity in promoting culturally relevant and equitable education for Indigenous students</w:t>
      </w:r>
      <w:r w:rsidR="00E04B74">
        <w:rPr>
          <w:rFonts w:ascii="Calibri" w:eastAsia="Calibri" w:hAnsi="Calibri" w:cs="Calibri"/>
        </w:rPr>
        <w:t xml:space="preserve"> [8[ [9]</w:t>
      </w:r>
      <w:r>
        <w:rPr>
          <w:rFonts w:ascii="Calibri" w:eastAsia="Calibri" w:hAnsi="Calibri" w:cs="Calibri"/>
        </w:rPr>
        <w:t>.</w:t>
      </w:r>
    </w:p>
    <w:p w14:paraId="0000000A" w14:textId="50EF7B61" w:rsidR="004525D7" w:rsidRDefault="00DC374E">
      <w:pPr>
        <w:spacing w:after="240"/>
        <w:jc w:val="both"/>
        <w:rPr>
          <w:rFonts w:ascii="Calibri" w:eastAsia="Calibri" w:hAnsi="Calibri" w:cs="Calibri"/>
        </w:rPr>
      </w:pPr>
      <w:r>
        <w:rPr>
          <w:rFonts w:ascii="Calibri" w:eastAsia="Calibri" w:hAnsi="Calibri" w:cs="Calibri"/>
        </w:rPr>
        <w:t xml:space="preserve">Our paper will address these core issues, which includes insufficient funding, disconnection of culture, discrimination, and lack of support systems for Indigenous communities, working towards assessment and analysis of quality education for Indigenous students </w:t>
      </w:r>
      <w:r w:rsidR="00DB1ADA">
        <w:rPr>
          <w:rFonts w:ascii="Calibri" w:eastAsia="Calibri" w:hAnsi="Calibri" w:cs="Calibri"/>
        </w:rPr>
        <w:t>and</w:t>
      </w:r>
      <w:r>
        <w:rPr>
          <w:rFonts w:ascii="Calibri" w:eastAsia="Calibri" w:hAnsi="Calibri" w:cs="Calibri"/>
        </w:rPr>
        <w:t xml:space="preserve"> reducing the educational gap between Indigenous and non-Indigenous populations.</w:t>
      </w:r>
    </w:p>
    <w:p w14:paraId="0000000B" w14:textId="77777777" w:rsidR="004525D7" w:rsidRDefault="00DC374E">
      <w:pPr>
        <w:pStyle w:val="Heading2"/>
      </w:pPr>
      <w:bookmarkStart w:id="7" w:name="_q1qxxuxta5rx" w:colFirst="0" w:colLast="0"/>
      <w:bookmarkEnd w:id="7"/>
      <w:r>
        <w:lastRenderedPageBreak/>
        <w:t>Motivation</w:t>
      </w:r>
    </w:p>
    <w:p w14:paraId="0000000C" w14:textId="78410305" w:rsidR="004525D7" w:rsidRDefault="00DC374E" w:rsidP="00DB1ADA">
      <w:pPr>
        <w:spacing w:before="240"/>
        <w:jc w:val="both"/>
        <w:rPr>
          <w:rFonts w:ascii="Calibri" w:eastAsia="Calibri" w:hAnsi="Calibri" w:cs="Calibri"/>
        </w:rPr>
      </w:pPr>
      <w:r>
        <w:rPr>
          <w:rFonts w:ascii="Calibri" w:eastAsia="Calibri" w:hAnsi="Calibri" w:cs="Calibri"/>
        </w:rPr>
        <w:t xml:space="preserve">A profound knowledge of past injustices and current hardships experienced by Indigenous communities serves as the driving force behind efforts to overcome the lack of cultural responsiveness in Canada's mainstream educational system and promote educational equity for Indigenous children. Every kid needs an education that represents their cultural identity and fosters their entire </w:t>
      </w:r>
      <w:r w:rsidR="00DB1ADA">
        <w:rPr>
          <w:rFonts w:ascii="Calibri" w:eastAsia="Calibri" w:hAnsi="Calibri" w:cs="Calibri"/>
        </w:rPr>
        <w:t>well-being,</w:t>
      </w:r>
      <w:r>
        <w:rPr>
          <w:rFonts w:ascii="Calibri" w:eastAsia="Calibri" w:hAnsi="Calibri" w:cs="Calibri"/>
        </w:rPr>
        <w:t xml:space="preserve"> and this motivation is fueled by a desire for justice, fairness, and reconciliation</w:t>
      </w:r>
      <w:r w:rsidR="00324672">
        <w:rPr>
          <w:rFonts w:ascii="Calibri" w:eastAsia="Calibri" w:hAnsi="Calibri" w:cs="Calibri"/>
        </w:rPr>
        <w:t xml:space="preserve"> [10 [11]</w:t>
      </w:r>
      <w:r>
        <w:rPr>
          <w:rFonts w:ascii="Calibri" w:eastAsia="Calibri" w:hAnsi="Calibri" w:cs="Calibri"/>
        </w:rPr>
        <w:t>.</w:t>
      </w:r>
    </w:p>
    <w:p w14:paraId="0000000D" w14:textId="6F3AD7AF" w:rsidR="004525D7" w:rsidRDefault="00DC374E" w:rsidP="00DB1ADA">
      <w:pPr>
        <w:jc w:val="both"/>
        <w:rPr>
          <w:rFonts w:ascii="Calibri" w:eastAsia="Calibri" w:hAnsi="Calibri" w:cs="Calibri"/>
        </w:rPr>
      </w:pPr>
      <w:r>
        <w:rPr>
          <w:rFonts w:ascii="Calibri" w:eastAsia="Calibri" w:hAnsi="Calibri" w:cs="Calibri"/>
        </w:rPr>
        <w:t xml:space="preserve">Empathy is a key component of this drive which can be understood better if we can relate to their experiences. We understand the value of a learning environment that </w:t>
      </w:r>
      <w:r w:rsidR="00DB1ADA">
        <w:rPr>
          <w:rFonts w:ascii="Calibri" w:eastAsia="Calibri" w:hAnsi="Calibri" w:cs="Calibri"/>
        </w:rPr>
        <w:t>recognizes</w:t>
      </w:r>
      <w:r>
        <w:rPr>
          <w:rFonts w:ascii="Calibri" w:eastAsia="Calibri" w:hAnsi="Calibri" w:cs="Calibri"/>
        </w:rPr>
        <w:t xml:space="preserve"> Indigenous cultures, languages, and history to validate their identities. Empathy drives us to </w:t>
      </w:r>
      <w:r w:rsidR="00DB1ADA">
        <w:rPr>
          <w:rFonts w:ascii="Calibri" w:eastAsia="Calibri" w:hAnsi="Calibri" w:cs="Calibri"/>
        </w:rPr>
        <w:t>recognize</w:t>
      </w:r>
      <w:r>
        <w:rPr>
          <w:rFonts w:ascii="Calibri" w:eastAsia="Calibri" w:hAnsi="Calibri" w:cs="Calibri"/>
        </w:rPr>
        <w:t xml:space="preserve"> the suffering brought on by past wrongdoings like the residential school system, which forcefully tore Indigenous children away from their family, culture, and languages. These policies' generational effects still have an influence on Indigenous kids today causing them to feel excluded and disengaged from learning</w:t>
      </w:r>
      <w:r w:rsidR="00324672">
        <w:rPr>
          <w:rFonts w:ascii="Calibri" w:eastAsia="Calibri" w:hAnsi="Calibri" w:cs="Calibri"/>
        </w:rPr>
        <w:t xml:space="preserve"> [11]</w:t>
      </w:r>
      <w:r>
        <w:rPr>
          <w:rFonts w:ascii="Calibri" w:eastAsia="Calibri" w:hAnsi="Calibri" w:cs="Calibri"/>
        </w:rPr>
        <w:t>.</w:t>
      </w:r>
    </w:p>
    <w:p w14:paraId="0000000E" w14:textId="7549ACC5" w:rsidR="004525D7" w:rsidRDefault="00DC374E" w:rsidP="00DB1ADA">
      <w:pPr>
        <w:jc w:val="both"/>
        <w:rPr>
          <w:rFonts w:ascii="Calibri" w:eastAsia="Calibri" w:hAnsi="Calibri" w:cs="Calibri"/>
        </w:rPr>
      </w:pPr>
      <w:r>
        <w:rPr>
          <w:rFonts w:ascii="Calibri" w:eastAsia="Calibri" w:hAnsi="Calibri" w:cs="Calibri"/>
        </w:rPr>
        <w:t>A dedication to rapprochement, decolonization, and developing respectful connections with Indigenous communities is the driving force behind efforts to overcome the education system's lack of cultural awareness. The past and current marginalization of Indigenous knowledge systems, languages, and histories is acknowledged and must be addressed. We strive to restore the pride, self-respect, and dignity of Indigenous kids by promoting cultural responsiveness. By incorporating this information into the curriculum, we empower Indigenous kids and enhance the learning opportunities for all students and fostering respect and intercultural understanding</w:t>
      </w:r>
      <w:r w:rsidR="00324672">
        <w:rPr>
          <w:rFonts w:ascii="Calibri" w:eastAsia="Calibri" w:hAnsi="Calibri" w:cs="Calibri"/>
        </w:rPr>
        <w:t xml:space="preserve"> [1 2]</w:t>
      </w:r>
      <w:r>
        <w:rPr>
          <w:rFonts w:ascii="Calibri" w:eastAsia="Calibri" w:hAnsi="Calibri" w:cs="Calibri"/>
        </w:rPr>
        <w:t>.</w:t>
      </w:r>
    </w:p>
    <w:p w14:paraId="0000000F" w14:textId="748404E7" w:rsidR="004525D7" w:rsidRDefault="00DC374E" w:rsidP="00DB1ADA">
      <w:pPr>
        <w:jc w:val="both"/>
        <w:rPr>
          <w:rFonts w:ascii="Calibri" w:eastAsia="Calibri" w:hAnsi="Calibri" w:cs="Calibri"/>
        </w:rPr>
      </w:pPr>
      <w:r>
        <w:rPr>
          <w:rFonts w:ascii="Calibri" w:eastAsia="Calibri" w:hAnsi="Calibri" w:cs="Calibri"/>
        </w:rPr>
        <w:t>In addition to being a question of fairness, addressing the lack of cultural responsiveness in the traditional educational system and fostering educational equity are crucial first steps towards attaining social justice. Indigenous knowledge systems integration and the provision of culturally appropriate curricula can improve the educational experience and foster a feeling of pride among Indigenous students</w:t>
      </w:r>
      <w:r w:rsidR="00324672">
        <w:rPr>
          <w:rFonts w:ascii="Calibri" w:eastAsia="Calibri" w:hAnsi="Calibri" w:cs="Calibri"/>
        </w:rPr>
        <w:t xml:space="preserve"> [13]</w:t>
      </w:r>
      <w:r>
        <w:rPr>
          <w:rFonts w:ascii="Calibri" w:eastAsia="Calibri" w:hAnsi="Calibri" w:cs="Calibri"/>
        </w:rPr>
        <w:t>.</w:t>
      </w:r>
    </w:p>
    <w:p w14:paraId="00000010" w14:textId="69FD22A8" w:rsidR="004525D7" w:rsidRDefault="00DC374E" w:rsidP="00DB1ADA">
      <w:pPr>
        <w:spacing w:after="240"/>
        <w:jc w:val="both"/>
        <w:rPr>
          <w:rFonts w:ascii="Calibri" w:eastAsia="Calibri" w:hAnsi="Calibri" w:cs="Calibri"/>
        </w:rPr>
      </w:pPr>
      <w:r>
        <w:rPr>
          <w:rFonts w:ascii="Calibri" w:eastAsia="Calibri" w:hAnsi="Calibri" w:cs="Calibri"/>
        </w:rPr>
        <w:t xml:space="preserve">Additionally, key efforts towards leveling the playing field include investing in infrastructure, upgrading educational facilities, and assuring access to required resources. This involves ensuring that schools in Indigenous areas have appropriate financing, the required technical tools, and skilled instructors who can </w:t>
      </w:r>
      <w:r w:rsidR="00DB1ADA">
        <w:rPr>
          <w:rFonts w:ascii="Calibri" w:eastAsia="Calibri" w:hAnsi="Calibri" w:cs="Calibri"/>
        </w:rPr>
        <w:t>recognize</w:t>
      </w:r>
      <w:r>
        <w:rPr>
          <w:rFonts w:ascii="Calibri" w:eastAsia="Calibri" w:hAnsi="Calibri" w:cs="Calibri"/>
        </w:rPr>
        <w:t xml:space="preserve"> and solve the </w:t>
      </w:r>
      <w:r w:rsidR="00DB1ADA">
        <w:rPr>
          <w:rFonts w:ascii="Calibri" w:eastAsia="Calibri" w:hAnsi="Calibri" w:cs="Calibri"/>
        </w:rPr>
        <w:t>issues</w:t>
      </w:r>
      <w:r>
        <w:rPr>
          <w:rFonts w:ascii="Calibri" w:eastAsia="Calibri" w:hAnsi="Calibri" w:cs="Calibri"/>
        </w:rPr>
        <w:t xml:space="preserve"> encountered by Indigenous kids. Finally addressing the differences in educational possibilities for them is a commitment to social justice and </w:t>
      </w:r>
      <w:r w:rsidR="00DB1ADA">
        <w:rPr>
          <w:rFonts w:ascii="Calibri" w:eastAsia="Calibri" w:hAnsi="Calibri" w:cs="Calibri"/>
        </w:rPr>
        <w:t>compassion.</w:t>
      </w:r>
      <w:r>
        <w:rPr>
          <w:rFonts w:ascii="Calibri" w:eastAsia="Calibri" w:hAnsi="Calibri" w:cs="Calibri"/>
        </w:rPr>
        <w:t xml:space="preserve"> We can build a more fair and inclusive society where everyone, regardless of background, has an equal chance to achieve and prosper by integrating cultural responsiveness and advancing educational equity</w:t>
      </w:r>
      <w:r w:rsidR="00324672">
        <w:rPr>
          <w:rFonts w:ascii="Calibri" w:eastAsia="Calibri" w:hAnsi="Calibri" w:cs="Calibri"/>
        </w:rPr>
        <w:t xml:space="preserve"> [10]</w:t>
      </w:r>
      <w:r>
        <w:rPr>
          <w:rFonts w:ascii="Calibri" w:eastAsia="Calibri" w:hAnsi="Calibri" w:cs="Calibri"/>
        </w:rPr>
        <w:t xml:space="preserve"> [14].</w:t>
      </w:r>
    </w:p>
    <w:p w14:paraId="00000012" w14:textId="77777777" w:rsidR="004525D7" w:rsidRDefault="00DC374E">
      <w:pPr>
        <w:pStyle w:val="Heading2"/>
      </w:pPr>
      <w:bookmarkStart w:id="8" w:name="_1yfue62newto" w:colFirst="0" w:colLast="0"/>
      <w:bookmarkEnd w:id="8"/>
      <w:r>
        <w:t>Solution statement/technology</w:t>
      </w:r>
    </w:p>
    <w:p w14:paraId="00000013" w14:textId="44EF6C63" w:rsidR="004525D7" w:rsidRDefault="00DC374E" w:rsidP="008B0EE5">
      <w:pPr>
        <w:spacing w:before="240" w:after="120"/>
        <w:jc w:val="both"/>
        <w:rPr>
          <w:rFonts w:ascii="Calibri" w:eastAsia="Calibri" w:hAnsi="Calibri" w:cs="Calibri"/>
        </w:rPr>
      </w:pPr>
      <w:r>
        <w:rPr>
          <w:rFonts w:ascii="Calibri" w:eastAsia="Calibri" w:hAnsi="Calibri" w:cs="Calibri"/>
        </w:rPr>
        <w:t>To address the educational disparities faced by Indigenous students and to promote evidence-based decision-making, a model would be created</w:t>
      </w:r>
      <w:r w:rsidR="00B0247C">
        <w:rPr>
          <w:rFonts w:ascii="Calibri" w:eastAsia="Calibri" w:hAnsi="Calibri" w:cs="Calibri"/>
        </w:rPr>
        <w:t xml:space="preserve"> for which we can </w:t>
      </w:r>
      <w:r w:rsidR="00744FEA">
        <w:rPr>
          <w:rFonts w:ascii="Calibri" w:eastAsia="Calibri" w:hAnsi="Calibri" w:cs="Calibri"/>
        </w:rPr>
        <w:t>us</w:t>
      </w:r>
      <w:r w:rsidR="00B0247C">
        <w:rPr>
          <w:rFonts w:ascii="Calibri" w:eastAsia="Calibri" w:hAnsi="Calibri" w:cs="Calibri"/>
        </w:rPr>
        <w:t>e a</w:t>
      </w:r>
      <w:r w:rsidR="00744FEA">
        <w:rPr>
          <w:rFonts w:ascii="Calibri" w:eastAsia="Calibri" w:hAnsi="Calibri" w:cs="Calibri"/>
        </w:rPr>
        <w:t xml:space="preserve"> </w:t>
      </w:r>
      <w:r w:rsidR="00B0247C">
        <w:rPr>
          <w:rFonts w:ascii="Calibri" w:eastAsia="Calibri" w:hAnsi="Calibri" w:cs="Calibri"/>
        </w:rPr>
        <w:t xml:space="preserve">NoSQL Database, such as MongoDB </w:t>
      </w:r>
      <w:r w:rsidR="00B0247C" w:rsidRPr="00B0247C">
        <w:rPr>
          <w:rFonts w:ascii="Calibri" w:eastAsia="Calibri" w:hAnsi="Calibri" w:cs="Calibri"/>
        </w:rPr>
        <w:t>or any other generic NoSQL database</w:t>
      </w:r>
      <w:r w:rsidR="00B0247C">
        <w:rPr>
          <w:rFonts w:ascii="Calibri" w:eastAsia="Calibri" w:hAnsi="Calibri" w:cs="Calibri"/>
        </w:rPr>
        <w:t>.</w:t>
      </w:r>
      <w:r>
        <w:rPr>
          <w:rFonts w:ascii="Calibri" w:eastAsia="Calibri" w:hAnsi="Calibri" w:cs="Calibri"/>
        </w:rPr>
        <w:t xml:space="preserve"> Here are some of the main characteristics and features of this solution.</w:t>
      </w:r>
    </w:p>
    <w:p w14:paraId="00000014" w14:textId="009E2033" w:rsidR="004525D7" w:rsidRDefault="00DC374E" w:rsidP="008B0EE5">
      <w:pPr>
        <w:spacing w:before="120" w:after="240"/>
        <w:jc w:val="both"/>
        <w:rPr>
          <w:rFonts w:ascii="Calibri" w:eastAsia="Calibri" w:hAnsi="Calibri" w:cs="Calibri"/>
        </w:rPr>
      </w:pPr>
      <w:r>
        <w:rPr>
          <w:rFonts w:ascii="Calibri" w:eastAsia="Calibri" w:hAnsi="Calibri" w:cs="Calibri"/>
          <w:b/>
        </w:rPr>
        <w:t xml:space="preserve">Customized Data Fields: </w:t>
      </w:r>
      <w:r w:rsidR="00492630">
        <w:rPr>
          <w:rFonts w:ascii="Calibri" w:eastAsia="Calibri" w:hAnsi="Calibri" w:cs="Calibri"/>
        </w:rPr>
        <w:t>A</w:t>
      </w:r>
      <w:r>
        <w:rPr>
          <w:rFonts w:ascii="Calibri" w:eastAsia="Calibri" w:hAnsi="Calibri" w:cs="Calibri"/>
        </w:rPr>
        <w:t xml:space="preserve"> </w:t>
      </w:r>
      <w:r w:rsidR="00492630">
        <w:rPr>
          <w:rFonts w:ascii="Calibri" w:eastAsia="Calibri" w:hAnsi="Calibri" w:cs="Calibri"/>
        </w:rPr>
        <w:t>database schema</w:t>
      </w:r>
      <w:r>
        <w:rPr>
          <w:rFonts w:ascii="Calibri" w:eastAsia="Calibri" w:hAnsi="Calibri" w:cs="Calibri"/>
        </w:rPr>
        <w:t xml:space="preserve"> </w:t>
      </w:r>
      <w:r w:rsidR="00492630">
        <w:rPr>
          <w:rFonts w:ascii="Calibri" w:eastAsia="Calibri" w:hAnsi="Calibri" w:cs="Calibri"/>
        </w:rPr>
        <w:t>will be designed which will</w:t>
      </w:r>
      <w:r>
        <w:rPr>
          <w:rFonts w:ascii="Calibri" w:eastAsia="Calibri" w:hAnsi="Calibri" w:cs="Calibri"/>
        </w:rPr>
        <w:t xml:space="preserve"> have a customized set of data fields that capture pertinent data unique to Indigenous students, including cultural identity, language </w:t>
      </w:r>
      <w:r>
        <w:rPr>
          <w:rFonts w:ascii="Calibri" w:eastAsia="Calibri" w:hAnsi="Calibri" w:cs="Calibri"/>
        </w:rPr>
        <w:lastRenderedPageBreak/>
        <w:t>proficiency, community involvement, Name, Age, Gender, type of educational institute (govt. or private), and other such relevant fields can be included.</w:t>
      </w:r>
      <w:r w:rsidR="00492630">
        <w:rPr>
          <w:rFonts w:ascii="Calibri" w:eastAsia="Calibri" w:hAnsi="Calibri" w:cs="Calibri"/>
        </w:rPr>
        <w:t xml:space="preserve"> </w:t>
      </w:r>
    </w:p>
    <w:p w14:paraId="43EDB78C" w14:textId="77777777" w:rsidR="003152C1" w:rsidRDefault="00DC374E">
      <w:pPr>
        <w:spacing w:before="240" w:after="240"/>
        <w:jc w:val="both"/>
        <w:rPr>
          <w:rFonts w:ascii="Calibri" w:eastAsia="Calibri" w:hAnsi="Calibri" w:cs="Calibri"/>
        </w:rPr>
      </w:pPr>
      <w:r>
        <w:rPr>
          <w:rFonts w:ascii="Calibri" w:eastAsia="Calibri" w:hAnsi="Calibri" w:cs="Calibri"/>
          <w:b/>
        </w:rPr>
        <w:t xml:space="preserve">Indigenous Data Governance: </w:t>
      </w:r>
      <w:r>
        <w:rPr>
          <w:rFonts w:ascii="Calibri" w:eastAsia="Calibri" w:hAnsi="Calibri" w:cs="Calibri"/>
        </w:rPr>
        <w:t>The model would adhere to the concepts of Indigenous data sovereignty and self-determination, respect for community protocols, and assurance that Indigenous communities retain ownership and control of the data.</w:t>
      </w:r>
      <w:r w:rsidR="00492630">
        <w:rPr>
          <w:rFonts w:ascii="Calibri" w:eastAsia="Calibri" w:hAnsi="Calibri" w:cs="Calibri"/>
        </w:rPr>
        <w:t xml:space="preserve"> </w:t>
      </w:r>
      <w:r w:rsidR="003152C1" w:rsidRPr="003152C1">
        <w:rPr>
          <w:rFonts w:ascii="Calibri" w:eastAsia="Calibri" w:hAnsi="Calibri" w:cs="Calibri"/>
        </w:rPr>
        <w:t>Authentication and authorization mechanisms provided by the chosen NoSQL database can be used to enforce data governance policies.</w:t>
      </w:r>
    </w:p>
    <w:p w14:paraId="0CCCD74B" w14:textId="1C122876" w:rsidR="00974CAC" w:rsidRDefault="00DC374E" w:rsidP="00974CAC">
      <w:pPr>
        <w:spacing w:before="240" w:after="240"/>
        <w:jc w:val="both"/>
        <w:rPr>
          <w:rFonts w:ascii="Segoe UI" w:hAnsi="Segoe UI" w:cs="Segoe UI"/>
          <w:color w:val="374151"/>
          <w:shd w:val="clear" w:color="auto" w:fill="F7F7F8"/>
        </w:rPr>
      </w:pPr>
      <w:r>
        <w:rPr>
          <w:rFonts w:ascii="Calibri" w:eastAsia="Calibri" w:hAnsi="Calibri" w:cs="Calibri"/>
          <w:b/>
        </w:rPr>
        <w:t xml:space="preserve">Data Integration and Reporting: </w:t>
      </w:r>
      <w:r>
        <w:rPr>
          <w:rFonts w:ascii="Calibri" w:eastAsia="Calibri" w:hAnsi="Calibri" w:cs="Calibri"/>
        </w:rPr>
        <w:t xml:space="preserve">The proposed </w:t>
      </w:r>
      <w:r w:rsidR="00744FEA">
        <w:rPr>
          <w:rFonts w:ascii="Calibri" w:eastAsia="Calibri" w:hAnsi="Calibri" w:cs="Calibri"/>
        </w:rPr>
        <w:t>model</w:t>
      </w:r>
      <w:r>
        <w:rPr>
          <w:rFonts w:ascii="Calibri" w:eastAsia="Calibri" w:hAnsi="Calibri" w:cs="Calibri"/>
        </w:rPr>
        <w:t xml:space="preserve"> would combine information from various sources, including educational institutions, governmental bodies, and community-based organizations, to produce a comprehensive picture of Indigenous students' educational experiences</w:t>
      </w:r>
      <w:r w:rsidR="00974CAC">
        <w:rPr>
          <w:rFonts w:ascii="Calibri" w:eastAsia="Calibri" w:hAnsi="Calibri" w:cs="Calibri"/>
        </w:rPr>
        <w:t>.</w:t>
      </w:r>
      <w:r w:rsidR="00974CAC" w:rsidRPr="00974CAC">
        <w:t xml:space="preserve"> </w:t>
      </w:r>
      <w:r w:rsidR="00974CAC" w:rsidRPr="00974CAC">
        <w:rPr>
          <w:rFonts w:ascii="Calibri" w:eastAsia="Calibri" w:hAnsi="Calibri" w:cs="Calibri"/>
        </w:rPr>
        <w:t>The flexibility of the chosen NoSQL database's document model will facilitate easy integration of data from different sources. Customizable reports and visualizations can be generated using the features provided by the selected NoSQL database.</w:t>
      </w:r>
    </w:p>
    <w:p w14:paraId="00000018" w14:textId="135A5DCA" w:rsidR="004525D7" w:rsidRDefault="00DC374E" w:rsidP="00974CAC">
      <w:pPr>
        <w:spacing w:before="240" w:after="240"/>
        <w:jc w:val="both"/>
        <w:rPr>
          <w:rFonts w:ascii="Calibri" w:eastAsia="Calibri" w:hAnsi="Calibri" w:cs="Calibri"/>
        </w:rPr>
      </w:pPr>
      <w:r>
        <w:rPr>
          <w:rFonts w:ascii="Calibri" w:eastAsia="Calibri" w:hAnsi="Calibri" w:cs="Calibri"/>
          <w:b/>
        </w:rPr>
        <w:t xml:space="preserve">Cultural and Contextual Indicators: </w:t>
      </w:r>
      <w:r w:rsidR="00DB1ADA">
        <w:rPr>
          <w:rFonts w:ascii="Calibri" w:eastAsia="Calibri" w:hAnsi="Calibri" w:cs="Calibri"/>
        </w:rPr>
        <w:t>For</w:t>
      </w:r>
      <w:r>
        <w:rPr>
          <w:rFonts w:ascii="Calibri" w:eastAsia="Calibri" w:hAnsi="Calibri" w:cs="Calibri"/>
        </w:rPr>
        <w:t xml:space="preserve"> evaluating the success of educational initiatives and programs for Indigenous students, the model would incorporate culturally relevant indicators like ethnicity and language.</w:t>
      </w:r>
      <w:r w:rsidR="00EC12EA">
        <w:rPr>
          <w:rFonts w:ascii="Calibri" w:eastAsia="Calibri" w:hAnsi="Calibri" w:cs="Calibri"/>
        </w:rPr>
        <w:t xml:space="preserve"> We will store and query this information </w:t>
      </w:r>
      <w:r w:rsidR="00EC12EA" w:rsidRPr="00EC12EA">
        <w:rPr>
          <w:rFonts w:ascii="Calibri" w:eastAsia="Calibri" w:hAnsi="Calibri" w:cs="Calibri"/>
        </w:rPr>
        <w:t>to evaluate the success of educational initiatives and programs.</w:t>
      </w:r>
    </w:p>
    <w:p w14:paraId="195659C3" w14:textId="77777777" w:rsidR="00CC65DC" w:rsidRDefault="00DC374E">
      <w:pPr>
        <w:spacing w:before="240" w:after="240"/>
        <w:jc w:val="both"/>
        <w:rPr>
          <w:rFonts w:ascii="Calibri" w:eastAsia="Calibri" w:hAnsi="Calibri" w:cs="Calibri"/>
        </w:rPr>
      </w:pPr>
      <w:r>
        <w:rPr>
          <w:rFonts w:ascii="Calibri" w:eastAsia="Calibri" w:hAnsi="Calibri" w:cs="Calibri"/>
          <w:b/>
        </w:rPr>
        <w:t xml:space="preserve">Longitudinal Tracking and Early Intervention: </w:t>
      </w:r>
      <w:r>
        <w:rPr>
          <w:rFonts w:ascii="Calibri" w:eastAsia="Calibri" w:hAnsi="Calibri" w:cs="Calibri"/>
        </w:rPr>
        <w:t xml:space="preserve">The model would make it easier to track Indigenous students' academic development over time, from early education to higher </w:t>
      </w:r>
      <w:r w:rsidR="00DB1ADA">
        <w:rPr>
          <w:rFonts w:ascii="Calibri" w:eastAsia="Calibri" w:hAnsi="Calibri" w:cs="Calibri"/>
        </w:rPr>
        <w:t>education. It</w:t>
      </w:r>
      <w:r>
        <w:rPr>
          <w:rFonts w:ascii="Calibri" w:eastAsia="Calibri" w:hAnsi="Calibri" w:cs="Calibri"/>
        </w:rPr>
        <w:t xml:space="preserve"> would be able to spot early indicators of potential difficulties or disparities, enabling prompt support and interventions to guarantee students' success and stop educational gaps from widening. </w:t>
      </w:r>
      <w:r w:rsidR="00CC65DC" w:rsidRPr="00CC65DC">
        <w:rPr>
          <w:rFonts w:ascii="Calibri" w:eastAsia="Calibri" w:hAnsi="Calibri" w:cs="Calibri"/>
        </w:rPr>
        <w:t>The selected NoSQL database can be used to track and analyze students' academic progress over time.</w:t>
      </w:r>
    </w:p>
    <w:p w14:paraId="08FCA751" w14:textId="3FC40156" w:rsidR="00EF6588" w:rsidRDefault="00EC12EA">
      <w:pPr>
        <w:spacing w:before="240" w:after="240"/>
        <w:jc w:val="both"/>
        <w:rPr>
          <w:rFonts w:ascii="Calibri" w:eastAsia="Calibri" w:hAnsi="Calibri" w:cs="Calibri"/>
          <w:b/>
          <w:bCs/>
        </w:rPr>
      </w:pPr>
      <w:r w:rsidRPr="00EC12EA">
        <w:rPr>
          <w:rFonts w:ascii="Calibri" w:eastAsia="Calibri" w:hAnsi="Calibri" w:cs="Calibri"/>
          <w:b/>
          <w:bCs/>
        </w:rPr>
        <w:t>Date Privacy and Security</w:t>
      </w:r>
      <w:r w:rsidR="00EF6588">
        <w:rPr>
          <w:rFonts w:ascii="Calibri" w:eastAsia="Calibri" w:hAnsi="Calibri" w:cs="Calibri"/>
          <w:b/>
          <w:bCs/>
        </w:rPr>
        <w:t xml:space="preserve">: </w:t>
      </w:r>
      <w:r w:rsidR="00CC65DC" w:rsidRPr="00CC65DC">
        <w:rPr>
          <w:rFonts w:ascii="Calibri" w:eastAsia="Calibri" w:hAnsi="Calibri" w:cs="Calibri"/>
        </w:rPr>
        <w:t>The sensitive data of Indigenous students will be protected using appropriate security measures. Depending on the chosen NoSQL database, features such as encryption-at-rest and encryption-in-transit can be utilized to ensure data privacy and security.</w:t>
      </w:r>
    </w:p>
    <w:p w14:paraId="0000001A" w14:textId="7304A0A3" w:rsidR="004525D7" w:rsidRDefault="00DC374E">
      <w:pPr>
        <w:spacing w:before="240" w:after="240"/>
        <w:jc w:val="both"/>
        <w:rPr>
          <w:rFonts w:ascii="Calibri" w:eastAsia="Calibri" w:hAnsi="Calibri" w:cs="Calibri"/>
        </w:rPr>
      </w:pPr>
      <w:r>
        <w:rPr>
          <w:rFonts w:ascii="Calibri" w:eastAsia="Calibri" w:hAnsi="Calibri" w:cs="Calibri"/>
        </w:rPr>
        <w:t xml:space="preserve">The Model's implementation calls for close coordination with Indigenous communities, adherence to ethical principles, and observance of data privacy laws. </w:t>
      </w:r>
      <w:r w:rsidR="00DB1ADA">
        <w:rPr>
          <w:rFonts w:ascii="Calibri" w:eastAsia="Calibri" w:hAnsi="Calibri" w:cs="Calibri"/>
        </w:rPr>
        <w:t>To</w:t>
      </w:r>
      <w:r>
        <w:rPr>
          <w:rFonts w:ascii="Calibri" w:eastAsia="Calibri" w:hAnsi="Calibri" w:cs="Calibri"/>
        </w:rPr>
        <w:t xml:space="preserve"> support their right to self-determination and advance educational equity for Indigenous students, it would give Indigenous communities the power to gather, manage, and use data in these ways. a statement or piece of technology that is used for implementation. </w:t>
      </w:r>
    </w:p>
    <w:p w14:paraId="0000001B" w14:textId="77777777" w:rsidR="004525D7" w:rsidRDefault="004525D7">
      <w:pPr>
        <w:spacing w:before="240" w:after="240"/>
        <w:jc w:val="both"/>
        <w:rPr>
          <w:rFonts w:ascii="Calibri" w:eastAsia="Calibri" w:hAnsi="Calibri" w:cs="Calibri"/>
        </w:rPr>
      </w:pPr>
    </w:p>
    <w:p w14:paraId="728311D4" w14:textId="77777777" w:rsidR="00FB53A0" w:rsidRDefault="00FB53A0">
      <w:pPr>
        <w:rPr>
          <w:sz w:val="32"/>
          <w:szCs w:val="32"/>
        </w:rPr>
      </w:pPr>
      <w:r>
        <w:br w:type="page"/>
      </w:r>
    </w:p>
    <w:p w14:paraId="0000001C" w14:textId="3F030928" w:rsidR="004525D7" w:rsidRDefault="00DC374E" w:rsidP="008B0EE5">
      <w:pPr>
        <w:pStyle w:val="Heading2"/>
        <w:spacing w:before="0"/>
      </w:pPr>
      <w:r>
        <w:lastRenderedPageBreak/>
        <w:t>References</w:t>
      </w:r>
    </w:p>
    <w:p w14:paraId="0BDF2A7B" w14:textId="7B093345" w:rsidR="00F3589B" w:rsidRDefault="0006680C" w:rsidP="008B0EE5">
      <w:pPr>
        <w:spacing w:after="120" w:line="240" w:lineRule="auto"/>
        <w:rPr>
          <w:rStyle w:val="Hyperlink"/>
          <w:rFonts w:ascii="Calibri" w:eastAsia="Times New Roman" w:hAnsi="Calibri" w:cs="Calibri"/>
          <w:lang w:val="en-IN"/>
        </w:rPr>
      </w:pPr>
      <w:bookmarkStart w:id="9" w:name="_Hlk136003778"/>
      <w:r w:rsidRPr="0006680C">
        <w:rPr>
          <w:rFonts w:ascii="Calibri" w:eastAsia="Times New Roman" w:hAnsi="Calibri" w:cs="Calibri"/>
          <w:color w:val="000000"/>
          <w:lang w:val="en-IN"/>
        </w:rPr>
        <w:t>[1]</w:t>
      </w:r>
      <w:r w:rsidR="00836B33">
        <w:rPr>
          <w:rFonts w:ascii="Calibri" w:eastAsia="Times New Roman" w:hAnsi="Calibri" w:cs="Calibri"/>
          <w:color w:val="000000"/>
          <w:lang w:val="en-IN"/>
        </w:rPr>
        <w:t xml:space="preserve"> </w:t>
      </w:r>
      <w:r w:rsidRPr="0006680C">
        <w:rPr>
          <w:rFonts w:ascii="Calibri" w:eastAsia="Times New Roman" w:hAnsi="Calibri" w:cs="Calibri"/>
          <w:color w:val="000000"/>
          <w:lang w:val="en-IN"/>
        </w:rPr>
        <w:t>“Sign the Petition,” </w:t>
      </w:r>
      <w:r w:rsidRPr="0006680C">
        <w:rPr>
          <w:rFonts w:ascii="Calibri" w:eastAsia="Times New Roman" w:hAnsi="Calibri" w:cs="Calibri"/>
          <w:i/>
          <w:iCs/>
          <w:color w:val="000000"/>
          <w:lang w:val="en-IN"/>
        </w:rPr>
        <w:t>Change.org</w:t>
      </w:r>
      <w:r w:rsidRPr="0006680C">
        <w:rPr>
          <w:rFonts w:ascii="Calibri" w:eastAsia="Times New Roman" w:hAnsi="Calibri" w:cs="Calibri"/>
          <w:color w:val="000000"/>
          <w:lang w:val="en-IN"/>
        </w:rPr>
        <w:t xml:space="preserve">. </w:t>
      </w:r>
      <w:hyperlink r:id="rId8" w:history="1">
        <w:r w:rsidRPr="0006680C">
          <w:rPr>
            <w:rStyle w:val="Hyperlink"/>
            <w:rFonts w:ascii="Calibri" w:eastAsia="Times New Roman" w:hAnsi="Calibri" w:cs="Calibri"/>
            <w:lang w:val="en-IN"/>
          </w:rPr>
          <w:t>https://www.change.org/p/justin-trudeau-indigenous-education-inequality-throughout-canada</w:t>
        </w:r>
      </w:hyperlink>
    </w:p>
    <w:p w14:paraId="4EC3CCF7" w14:textId="01C05D45" w:rsidR="00F3589B" w:rsidRDefault="00F3589B" w:rsidP="008B0EE5">
      <w:pPr>
        <w:spacing w:after="120" w:line="240" w:lineRule="auto"/>
        <w:rPr>
          <w:rStyle w:val="Hyperlink"/>
          <w:rFonts w:ascii="Calibri" w:eastAsia="Times New Roman" w:hAnsi="Calibri" w:cs="Calibri"/>
          <w:lang w:val="en-IN"/>
        </w:rPr>
      </w:pPr>
      <w:r w:rsidRPr="0006680C">
        <w:rPr>
          <w:rFonts w:ascii="Calibri" w:eastAsia="Times New Roman" w:hAnsi="Calibri" w:cs="Calibri"/>
          <w:color w:val="000000"/>
          <w:lang w:val="en-IN"/>
        </w:rPr>
        <w:t>[</w:t>
      </w:r>
      <w:r>
        <w:rPr>
          <w:rFonts w:ascii="Calibri" w:eastAsia="Times New Roman" w:hAnsi="Calibri" w:cs="Calibri"/>
          <w:color w:val="000000"/>
          <w:lang w:val="en-IN"/>
        </w:rPr>
        <w:t>2</w:t>
      </w:r>
      <w:r w:rsidRPr="0006680C">
        <w:rPr>
          <w:rFonts w:ascii="Calibri" w:eastAsia="Times New Roman" w:hAnsi="Calibri" w:cs="Calibri"/>
          <w:color w:val="000000"/>
          <w:lang w:val="en-IN"/>
        </w:rPr>
        <w:t>]</w:t>
      </w:r>
      <w:r w:rsidRPr="00836B33">
        <w:rPr>
          <w:rFonts w:ascii="Calibri" w:eastAsia="Times New Roman" w:hAnsi="Calibri" w:cs="Calibri"/>
          <w:color w:val="000000"/>
          <w:lang w:val="en-IN"/>
        </w:rPr>
        <w:t xml:space="preserve"> </w:t>
      </w:r>
      <w:r w:rsidRPr="0006680C">
        <w:rPr>
          <w:rFonts w:ascii="Calibri" w:eastAsia="Times New Roman" w:hAnsi="Calibri" w:cs="Calibri"/>
          <w:color w:val="000000"/>
          <w:lang w:val="en-IN"/>
        </w:rPr>
        <w:t>Government of Canada, “Truth and Reconciliation Commission of Canada,” </w:t>
      </w:r>
      <w:r w:rsidRPr="0006680C">
        <w:rPr>
          <w:rFonts w:ascii="Calibri" w:eastAsia="Times New Roman" w:hAnsi="Calibri" w:cs="Calibri"/>
          <w:i/>
          <w:iCs/>
          <w:color w:val="000000"/>
          <w:lang w:val="en-IN"/>
        </w:rPr>
        <w:t>Government of Canada</w:t>
      </w:r>
      <w:r w:rsidRPr="0006680C">
        <w:rPr>
          <w:rFonts w:ascii="Calibri" w:eastAsia="Times New Roman" w:hAnsi="Calibri" w:cs="Calibri"/>
          <w:color w:val="000000"/>
          <w:lang w:val="en-IN"/>
        </w:rPr>
        <w:t xml:space="preserve">, Jun. 11, 2021. </w:t>
      </w:r>
      <w:hyperlink r:id="rId9" w:history="1">
        <w:r w:rsidRPr="0006680C">
          <w:rPr>
            <w:rStyle w:val="Hyperlink"/>
            <w:rFonts w:ascii="Calibri" w:eastAsia="Times New Roman" w:hAnsi="Calibri" w:cs="Calibri"/>
            <w:lang w:val="en-IN"/>
          </w:rPr>
          <w:t>https://www.rcaanc-cirnac.gc.ca/eng/1450124405592/1529106060525</w:t>
        </w:r>
      </w:hyperlink>
    </w:p>
    <w:p w14:paraId="0A03A194" w14:textId="2150E6B2" w:rsidR="00743C99" w:rsidRPr="008B0EE5" w:rsidRDefault="00743C99" w:rsidP="008B0EE5">
      <w:pPr>
        <w:spacing w:after="120" w:line="240" w:lineRule="auto"/>
        <w:rPr>
          <w:rFonts w:asciiTheme="majorHAnsi" w:eastAsia="Times New Roman" w:hAnsiTheme="majorHAnsi" w:cstheme="majorHAnsi"/>
          <w:color w:val="0000FF"/>
          <w:u w:val="single"/>
        </w:rPr>
      </w:pPr>
      <w:r w:rsidRPr="001A7E0E">
        <w:rPr>
          <w:rFonts w:asciiTheme="majorHAnsi" w:eastAsia="Times New Roman" w:hAnsiTheme="majorHAnsi" w:cstheme="majorHAnsi"/>
          <w:color w:val="000000"/>
        </w:rPr>
        <w:t>[3] H. A. McCue, “Education of Indigenous Peoples in Canada | The Canadian</w:t>
      </w:r>
      <w:r>
        <w:rPr>
          <w:rFonts w:asciiTheme="majorHAnsi" w:eastAsia="Times New Roman" w:hAnsiTheme="majorHAnsi" w:cstheme="majorHAnsi"/>
          <w:color w:val="000000"/>
        </w:rPr>
        <w:t xml:space="preserve"> </w:t>
      </w:r>
      <w:r w:rsidRPr="001A7E0E">
        <w:rPr>
          <w:rFonts w:asciiTheme="majorHAnsi" w:eastAsia="Times New Roman" w:hAnsiTheme="majorHAnsi" w:cstheme="majorHAnsi"/>
          <w:color w:val="000000"/>
        </w:rPr>
        <w:t>Encyclopaedia,” </w:t>
      </w:r>
      <w:r w:rsidRPr="001A7E0E">
        <w:rPr>
          <w:rFonts w:asciiTheme="majorHAnsi" w:eastAsia="Times New Roman" w:hAnsiTheme="majorHAnsi" w:cstheme="majorHAnsi"/>
          <w:i/>
          <w:iCs/>
          <w:color w:val="000000"/>
        </w:rPr>
        <w:t>Thecanadianencyclopedia.ca</w:t>
      </w:r>
      <w:r w:rsidRPr="001A7E0E">
        <w:rPr>
          <w:rFonts w:asciiTheme="majorHAnsi" w:eastAsia="Times New Roman" w:hAnsiTheme="majorHAnsi" w:cstheme="majorHAnsi"/>
          <w:color w:val="000000"/>
        </w:rPr>
        <w:t xml:space="preserve">, Jun. 06, 2011. </w:t>
      </w:r>
      <w:hyperlink r:id="rId10" w:history="1">
        <w:r w:rsidRPr="001A7E0E">
          <w:rPr>
            <w:rStyle w:val="Hyperlink"/>
            <w:rFonts w:asciiTheme="majorHAnsi" w:eastAsia="Times New Roman" w:hAnsiTheme="majorHAnsi" w:cstheme="majorHAnsi"/>
          </w:rPr>
          <w:t>https://www.thecanadianencyclopedia.ca/en/article/aboriginal-people-education</w:t>
        </w:r>
      </w:hyperlink>
    </w:p>
    <w:p w14:paraId="2BA5AEB1" w14:textId="27DF03C8" w:rsidR="000D6887" w:rsidRPr="008B0EE5" w:rsidRDefault="00743C99" w:rsidP="008B0EE5">
      <w:pPr>
        <w:spacing w:after="120" w:line="240" w:lineRule="auto"/>
        <w:rPr>
          <w:rStyle w:val="Hyperlink"/>
          <w:rFonts w:asciiTheme="majorHAnsi" w:eastAsia="Times New Roman" w:hAnsiTheme="majorHAnsi" w:cstheme="majorHAnsi"/>
          <w:color w:val="000000"/>
          <w:u w:val="none"/>
          <w:lang w:val="en-IN"/>
        </w:rPr>
      </w:pPr>
      <w:r w:rsidRPr="00D708A5">
        <w:rPr>
          <w:rFonts w:asciiTheme="majorHAnsi" w:eastAsia="Times New Roman" w:hAnsiTheme="majorHAnsi" w:cstheme="majorHAnsi"/>
          <w:color w:val="000000"/>
          <w:lang w:val="en-IN"/>
        </w:rPr>
        <w:t>[4] “Aboriginal Students – Colleges and Universities,” </w:t>
      </w:r>
      <w:r w:rsidRPr="00D708A5">
        <w:rPr>
          <w:rFonts w:asciiTheme="majorHAnsi" w:eastAsia="Times New Roman" w:hAnsiTheme="majorHAnsi" w:cstheme="majorHAnsi"/>
          <w:i/>
          <w:iCs/>
          <w:color w:val="000000"/>
          <w:lang w:val="en-IN"/>
        </w:rPr>
        <w:t>Gov.on.ca</w:t>
      </w:r>
      <w:r w:rsidRPr="00D708A5">
        <w:rPr>
          <w:rFonts w:asciiTheme="majorHAnsi" w:eastAsia="Times New Roman" w:hAnsiTheme="majorHAnsi" w:cstheme="majorHAnsi"/>
          <w:color w:val="000000"/>
          <w:lang w:val="en-IN"/>
        </w:rPr>
        <w:t xml:space="preserve">, 2017. </w:t>
      </w:r>
      <w:hyperlink r:id="rId11" w:history="1">
        <w:r w:rsidRPr="00D708A5">
          <w:rPr>
            <w:rStyle w:val="Hyperlink"/>
            <w:rFonts w:asciiTheme="majorHAnsi" w:eastAsia="Times New Roman" w:hAnsiTheme="majorHAnsi" w:cstheme="majorHAnsi"/>
            <w:lang w:val="en-IN"/>
          </w:rPr>
          <w:t>https://www.tcu.gov.on.ca/pepg/publications/framework.html</w:t>
        </w:r>
      </w:hyperlink>
    </w:p>
    <w:p w14:paraId="1ECC5B59" w14:textId="3176F2A7" w:rsidR="0006680C" w:rsidRDefault="000D6887" w:rsidP="008B0EE5">
      <w:pPr>
        <w:spacing w:after="120" w:line="240" w:lineRule="auto"/>
        <w:rPr>
          <w:rFonts w:ascii="Calibri" w:eastAsia="Times New Roman" w:hAnsi="Calibri" w:cs="Calibri"/>
          <w:color w:val="000000"/>
          <w:lang w:val="en-IN"/>
        </w:rPr>
      </w:pPr>
      <w:r w:rsidRPr="00836B33">
        <w:rPr>
          <w:rFonts w:ascii="Calibri" w:eastAsia="Times New Roman" w:hAnsi="Calibri" w:cs="Calibri"/>
          <w:color w:val="000000"/>
          <w:lang w:val="en-IN"/>
        </w:rPr>
        <w:t>[</w:t>
      </w:r>
      <w:r w:rsidR="00D708A5">
        <w:rPr>
          <w:rFonts w:ascii="Calibri" w:eastAsia="Times New Roman" w:hAnsi="Calibri" w:cs="Calibri"/>
          <w:color w:val="000000"/>
          <w:lang w:val="en-IN"/>
        </w:rPr>
        <w:t>5</w:t>
      </w:r>
      <w:r w:rsidRPr="00836B33">
        <w:rPr>
          <w:rFonts w:ascii="Calibri" w:eastAsia="Times New Roman" w:hAnsi="Calibri" w:cs="Calibri"/>
          <w:color w:val="000000"/>
          <w:lang w:val="en-IN"/>
        </w:rPr>
        <w:t xml:space="preserve">] Cfs Ontario, “Post Secondary Education and Treaty Rights,” Oct. 2021. Available: </w:t>
      </w:r>
      <w:hyperlink r:id="rId12" w:history="1">
        <w:r w:rsidRPr="00836B33">
          <w:rPr>
            <w:rStyle w:val="Hyperlink"/>
            <w:rFonts w:ascii="Calibri" w:eastAsia="Times New Roman" w:hAnsi="Calibri" w:cs="Calibri"/>
            <w:lang w:val="en-IN"/>
          </w:rPr>
          <w:t>https://cfsontario.ca/wp-content/uploads/2021/11/Indigenous-Education_Factsheets_2021_EN.pdf</w:t>
        </w:r>
      </w:hyperlink>
    </w:p>
    <w:p w14:paraId="23B39D4E" w14:textId="76DD4C64" w:rsidR="00836B33" w:rsidRPr="00836B33" w:rsidRDefault="001270B8" w:rsidP="008B0EE5">
      <w:pPr>
        <w:spacing w:after="120" w:line="240" w:lineRule="auto"/>
        <w:rPr>
          <w:rFonts w:ascii="Calibri" w:eastAsia="Times New Roman" w:hAnsi="Calibri" w:cs="Calibri"/>
          <w:color w:val="000000"/>
          <w:lang w:val="en-IN"/>
        </w:rPr>
      </w:pPr>
      <w:r w:rsidRPr="00BD1EA5">
        <w:rPr>
          <w:rFonts w:ascii="Calibri" w:eastAsia="Times New Roman" w:hAnsi="Calibri" w:cs="Calibri"/>
          <w:color w:val="000000"/>
          <w:lang w:val="en-IN"/>
        </w:rPr>
        <w:t>[</w:t>
      </w:r>
      <w:r w:rsidR="00AB37E5">
        <w:rPr>
          <w:rFonts w:ascii="Calibri" w:eastAsia="Times New Roman" w:hAnsi="Calibri" w:cs="Calibri"/>
          <w:color w:val="000000"/>
          <w:lang w:val="en-IN"/>
        </w:rPr>
        <w:t>6</w:t>
      </w:r>
      <w:r w:rsidRPr="00BD1EA5">
        <w:rPr>
          <w:rFonts w:ascii="Calibri" w:eastAsia="Times New Roman" w:hAnsi="Calibri" w:cs="Calibri"/>
          <w:color w:val="000000"/>
          <w:lang w:val="en-IN"/>
        </w:rPr>
        <w:t>]</w:t>
      </w:r>
      <w:r w:rsidRPr="00192D92">
        <w:rPr>
          <w:rFonts w:ascii="Calibri" w:eastAsia="Times New Roman" w:hAnsi="Calibri" w:cs="Calibri"/>
          <w:color w:val="000000"/>
          <w:lang w:val="en-IN"/>
        </w:rPr>
        <w:t xml:space="preserve"> </w:t>
      </w:r>
      <w:r w:rsidRPr="00BD1EA5">
        <w:rPr>
          <w:rFonts w:ascii="Calibri" w:eastAsia="Times New Roman" w:hAnsi="Calibri" w:cs="Calibri"/>
          <w:color w:val="000000"/>
          <w:lang w:val="en-IN"/>
        </w:rPr>
        <w:t>D. Brown, “Ontario has ‘come quite far’ on Indigenous education but there’s much more to be done: report,” </w:t>
      </w:r>
      <w:r w:rsidRPr="00BD1EA5">
        <w:rPr>
          <w:rFonts w:ascii="Calibri" w:eastAsia="Times New Roman" w:hAnsi="Calibri" w:cs="Calibri"/>
          <w:i/>
          <w:iCs/>
          <w:color w:val="000000"/>
          <w:lang w:val="en-IN"/>
        </w:rPr>
        <w:t>CBC</w:t>
      </w:r>
      <w:r w:rsidRPr="00BD1EA5">
        <w:rPr>
          <w:rFonts w:ascii="Calibri" w:eastAsia="Times New Roman" w:hAnsi="Calibri" w:cs="Calibri"/>
          <w:color w:val="000000"/>
          <w:lang w:val="en-IN"/>
        </w:rPr>
        <w:t xml:space="preserve">, Apr. 24, 2023. </w:t>
      </w:r>
      <w:hyperlink r:id="rId13" w:history="1">
        <w:r w:rsidRPr="00BD1EA5">
          <w:rPr>
            <w:rStyle w:val="Hyperlink"/>
            <w:rFonts w:ascii="Calibri" w:eastAsia="Times New Roman" w:hAnsi="Calibri" w:cs="Calibri"/>
            <w:lang w:val="en-IN"/>
          </w:rPr>
          <w:t>https://www.cbc.ca/news/canada/toronto/ontario-indigenous-education-1.6820604</w:t>
        </w:r>
      </w:hyperlink>
    </w:p>
    <w:p w14:paraId="44238723" w14:textId="54F7DFAE" w:rsidR="008F6001" w:rsidRPr="00192D92" w:rsidRDefault="00836B33" w:rsidP="008B0EE5">
      <w:pPr>
        <w:spacing w:after="120" w:line="240" w:lineRule="auto"/>
        <w:rPr>
          <w:rFonts w:ascii="Calibri" w:eastAsia="Times New Roman" w:hAnsi="Calibri" w:cs="Calibri"/>
          <w:color w:val="000000"/>
          <w:lang w:val="en-IN"/>
        </w:rPr>
      </w:pPr>
      <w:r w:rsidRPr="00836B33">
        <w:rPr>
          <w:rFonts w:ascii="Calibri" w:eastAsia="Times New Roman" w:hAnsi="Calibri" w:cs="Calibri"/>
          <w:color w:val="000000"/>
          <w:lang w:val="en-IN"/>
        </w:rPr>
        <w:t>[</w:t>
      </w:r>
      <w:r w:rsidR="00AB37E5">
        <w:rPr>
          <w:rFonts w:ascii="Calibri" w:eastAsia="Times New Roman" w:hAnsi="Calibri" w:cs="Calibri"/>
          <w:color w:val="000000"/>
          <w:lang w:val="en-IN"/>
        </w:rPr>
        <w:t>7</w:t>
      </w:r>
      <w:r w:rsidR="00F3589B">
        <w:rPr>
          <w:rFonts w:ascii="Calibri" w:eastAsia="Times New Roman" w:hAnsi="Calibri" w:cs="Calibri"/>
          <w:color w:val="000000"/>
          <w:lang w:val="en-IN"/>
        </w:rPr>
        <w:t>]</w:t>
      </w:r>
      <w:r w:rsidRPr="00836B33">
        <w:rPr>
          <w:rFonts w:ascii="Calibri" w:eastAsia="Times New Roman" w:hAnsi="Calibri" w:cs="Calibri"/>
          <w:color w:val="000000"/>
          <w:lang w:val="en-IN"/>
        </w:rPr>
        <w:t xml:space="preserve"> “Federation for the Humanities and Social Sciences / THINK BIG.” Accessed: May 26, 2023. [Online]. Available: </w:t>
      </w:r>
      <w:hyperlink r:id="rId14" w:history="1">
        <w:r w:rsidRPr="00836B33">
          <w:rPr>
            <w:rStyle w:val="Hyperlink"/>
            <w:rFonts w:ascii="Calibri" w:eastAsia="Times New Roman" w:hAnsi="Calibri" w:cs="Calibri"/>
            <w:lang w:val="en-IN"/>
          </w:rPr>
          <w:t>https://www.federationhss.ca/sites/default/files/2021-11/Role%20of%20HSS%20Report-EN.pdf</w:t>
        </w:r>
      </w:hyperlink>
      <w:bookmarkStart w:id="10" w:name="_Hlk136011901"/>
      <w:bookmarkEnd w:id="9"/>
    </w:p>
    <w:p w14:paraId="65FEEE26" w14:textId="5CF7F3D5" w:rsidR="008F6001" w:rsidRPr="00192D92" w:rsidRDefault="008F6001" w:rsidP="008B0EE5">
      <w:pPr>
        <w:spacing w:after="120" w:line="240" w:lineRule="auto"/>
        <w:rPr>
          <w:rFonts w:ascii="Calibri" w:eastAsia="Times New Roman" w:hAnsi="Calibri" w:cs="Calibri"/>
          <w:color w:val="000000"/>
          <w:lang w:val="en-IN"/>
        </w:rPr>
      </w:pPr>
      <w:r w:rsidRPr="008F6001">
        <w:rPr>
          <w:rFonts w:ascii="Calibri" w:eastAsia="Times New Roman" w:hAnsi="Calibri" w:cs="Calibri"/>
          <w:color w:val="000000"/>
          <w:lang w:val="en-IN"/>
        </w:rPr>
        <w:t>[</w:t>
      </w:r>
      <w:r w:rsidR="00AB37E5">
        <w:rPr>
          <w:rFonts w:ascii="Calibri" w:eastAsia="Times New Roman" w:hAnsi="Calibri" w:cs="Calibri"/>
          <w:color w:val="000000"/>
          <w:lang w:val="en-IN"/>
        </w:rPr>
        <w:t>8</w:t>
      </w:r>
      <w:r w:rsidRPr="008F6001">
        <w:rPr>
          <w:rFonts w:ascii="Calibri" w:eastAsia="Times New Roman" w:hAnsi="Calibri" w:cs="Calibri"/>
          <w:color w:val="000000"/>
          <w:lang w:val="en-IN"/>
        </w:rPr>
        <w:t>]</w:t>
      </w:r>
      <w:r w:rsidRPr="00192D92">
        <w:rPr>
          <w:rFonts w:ascii="Calibri" w:eastAsia="Times New Roman" w:hAnsi="Calibri" w:cs="Calibri"/>
          <w:color w:val="000000"/>
          <w:lang w:val="en-IN"/>
        </w:rPr>
        <w:t xml:space="preserve"> </w:t>
      </w:r>
      <w:r w:rsidRPr="008F6001">
        <w:rPr>
          <w:rFonts w:ascii="Calibri" w:eastAsia="Times New Roman" w:hAnsi="Calibri" w:cs="Calibri"/>
          <w:color w:val="000000"/>
          <w:lang w:val="en-IN"/>
        </w:rPr>
        <w:t>G. of C. I. S. Canada, “Métis Nation Post-Secondary Education Strategy,” </w:t>
      </w:r>
      <w:r w:rsidRPr="008F6001">
        <w:rPr>
          <w:rFonts w:ascii="Calibri" w:eastAsia="Times New Roman" w:hAnsi="Calibri" w:cs="Calibri"/>
          <w:i/>
          <w:iCs/>
          <w:color w:val="000000"/>
          <w:lang w:val="en-IN"/>
        </w:rPr>
        <w:t>sac-isc.gc.ca</w:t>
      </w:r>
      <w:r w:rsidRPr="008F6001">
        <w:rPr>
          <w:rFonts w:ascii="Calibri" w:eastAsia="Times New Roman" w:hAnsi="Calibri" w:cs="Calibri"/>
          <w:color w:val="000000"/>
          <w:lang w:val="en-IN"/>
        </w:rPr>
        <w:t xml:space="preserve">, Jan. 12, 2020. </w:t>
      </w:r>
      <w:hyperlink r:id="rId15" w:history="1">
        <w:r w:rsidR="00192D92" w:rsidRPr="008F6001">
          <w:rPr>
            <w:rStyle w:val="Hyperlink"/>
            <w:rFonts w:ascii="Calibri" w:eastAsia="Times New Roman" w:hAnsi="Calibri" w:cs="Calibri"/>
            <w:lang w:val="en-IN"/>
          </w:rPr>
          <w:t>https://sac-isc.gc.ca/eng/1578855031863/1578855057804</w:t>
        </w:r>
      </w:hyperlink>
      <w:r w:rsidR="009353B9">
        <w:rPr>
          <w:rFonts w:ascii="Calibri" w:eastAsia="Times New Roman" w:hAnsi="Calibri" w:cs="Calibri"/>
          <w:color w:val="000000"/>
          <w:lang w:val="en-IN"/>
        </w:rPr>
        <w:t xml:space="preserve"> </w:t>
      </w:r>
      <w:r w:rsidR="009353B9" w:rsidRPr="008F6001">
        <w:rPr>
          <w:rFonts w:ascii="Calibri" w:eastAsia="Times New Roman" w:hAnsi="Calibri" w:cs="Calibri"/>
          <w:color w:val="000000"/>
          <w:lang w:val="en-IN"/>
        </w:rPr>
        <w:t>(accessed May 26, 2023).</w:t>
      </w:r>
    </w:p>
    <w:p w14:paraId="5DAC644E" w14:textId="3B730290" w:rsidR="00F0463D" w:rsidRDefault="008F6001" w:rsidP="008B0EE5">
      <w:pPr>
        <w:spacing w:after="120" w:line="240" w:lineRule="auto"/>
        <w:rPr>
          <w:rFonts w:ascii="Calibri" w:eastAsia="Times New Roman" w:hAnsi="Calibri" w:cs="Calibri"/>
          <w:color w:val="000000"/>
          <w:lang w:val="en-IN"/>
        </w:rPr>
      </w:pPr>
      <w:r w:rsidRPr="008F6001">
        <w:rPr>
          <w:rFonts w:ascii="Calibri" w:eastAsia="Times New Roman" w:hAnsi="Calibri" w:cs="Calibri"/>
          <w:color w:val="000000"/>
          <w:lang w:val="en-IN"/>
        </w:rPr>
        <w:t>[</w:t>
      </w:r>
      <w:r w:rsidR="00AB37E5">
        <w:rPr>
          <w:rFonts w:ascii="Calibri" w:eastAsia="Times New Roman" w:hAnsi="Calibri" w:cs="Calibri"/>
          <w:color w:val="000000"/>
          <w:lang w:val="en-IN"/>
        </w:rPr>
        <w:t>9</w:t>
      </w:r>
      <w:r w:rsidRPr="008F6001">
        <w:rPr>
          <w:rFonts w:ascii="Calibri" w:eastAsia="Times New Roman" w:hAnsi="Calibri" w:cs="Calibri"/>
          <w:color w:val="000000"/>
          <w:lang w:val="en-IN"/>
        </w:rPr>
        <w:t>]</w:t>
      </w:r>
      <w:r w:rsidRPr="00192D92">
        <w:rPr>
          <w:rFonts w:ascii="Calibri" w:eastAsia="Times New Roman" w:hAnsi="Calibri" w:cs="Calibri"/>
          <w:color w:val="000000"/>
          <w:lang w:val="en-IN"/>
        </w:rPr>
        <w:t xml:space="preserve"> </w:t>
      </w:r>
      <w:r w:rsidRPr="008F6001">
        <w:rPr>
          <w:rFonts w:ascii="Calibri" w:eastAsia="Times New Roman" w:hAnsi="Calibri" w:cs="Calibri"/>
          <w:color w:val="000000"/>
          <w:lang w:val="en-IN"/>
        </w:rPr>
        <w:t>I. A. P. on R. E. Government of Canada, “Tri-Council Policy Statement: Ethical Conduct for Research Involving Humans – TCPS 2 (2018) – Chapter 9: Research Involving the First Nations, Inuit and Métis Peoples of Canada,” </w:t>
      </w:r>
      <w:r w:rsidRPr="008F6001">
        <w:rPr>
          <w:rFonts w:ascii="Calibri" w:eastAsia="Times New Roman" w:hAnsi="Calibri" w:cs="Calibri"/>
          <w:i/>
          <w:iCs/>
          <w:color w:val="000000"/>
          <w:lang w:val="en-IN"/>
        </w:rPr>
        <w:t>ethics.gc.ca</w:t>
      </w:r>
      <w:r w:rsidRPr="008F6001">
        <w:rPr>
          <w:rFonts w:ascii="Calibri" w:eastAsia="Times New Roman" w:hAnsi="Calibri" w:cs="Calibri"/>
          <w:color w:val="000000"/>
          <w:lang w:val="en-IN"/>
        </w:rPr>
        <w:t xml:space="preserve">, Apr. 01, 2019. </w:t>
      </w:r>
      <w:hyperlink r:id="rId16" w:history="1">
        <w:r w:rsidR="00192D92" w:rsidRPr="008F6001">
          <w:rPr>
            <w:rStyle w:val="Hyperlink"/>
            <w:rFonts w:ascii="Calibri" w:eastAsia="Times New Roman" w:hAnsi="Calibri" w:cs="Calibri"/>
            <w:lang w:val="en-IN"/>
          </w:rPr>
          <w:t>https://ethics.gc.ca/eng/tcps2-eptc2_2018_chapter9-chapitre9.html</w:t>
        </w:r>
      </w:hyperlink>
    </w:p>
    <w:p w14:paraId="3E5A17C7" w14:textId="59AF11BD" w:rsidR="00261713" w:rsidRPr="00DE1751" w:rsidRDefault="00F0463D" w:rsidP="008B0EE5">
      <w:pPr>
        <w:spacing w:after="120" w:line="240" w:lineRule="auto"/>
        <w:rPr>
          <w:rFonts w:ascii="Calibri" w:eastAsia="Times New Roman" w:hAnsi="Calibri" w:cs="Calibri"/>
          <w:color w:val="000000"/>
          <w:lang w:val="en-IN"/>
        </w:rPr>
      </w:pPr>
      <w:bookmarkStart w:id="11" w:name="_Hlk136012580"/>
      <w:r w:rsidRPr="00F0463D">
        <w:rPr>
          <w:rFonts w:ascii="Calibri" w:eastAsia="Times New Roman" w:hAnsi="Calibri" w:cs="Calibri"/>
          <w:color w:val="000000"/>
          <w:lang w:val="en-IN"/>
        </w:rPr>
        <w:t>[</w:t>
      </w:r>
      <w:r w:rsidR="00AB37E5">
        <w:rPr>
          <w:rFonts w:ascii="Calibri" w:eastAsia="Times New Roman" w:hAnsi="Calibri" w:cs="Calibri"/>
          <w:color w:val="000000"/>
          <w:lang w:val="en-IN"/>
        </w:rPr>
        <w:t>10</w:t>
      </w:r>
      <w:r w:rsidRPr="00F0463D">
        <w:rPr>
          <w:rFonts w:ascii="Calibri" w:eastAsia="Times New Roman" w:hAnsi="Calibri" w:cs="Calibri"/>
          <w:color w:val="000000"/>
          <w:lang w:val="en-IN"/>
        </w:rPr>
        <w:t>]</w:t>
      </w:r>
      <w:r w:rsidRPr="00DE1751">
        <w:rPr>
          <w:rFonts w:ascii="Calibri" w:eastAsia="Times New Roman" w:hAnsi="Calibri" w:cs="Calibri"/>
          <w:color w:val="000000"/>
          <w:lang w:val="en-IN"/>
        </w:rPr>
        <w:t xml:space="preserve"> </w:t>
      </w:r>
      <w:r w:rsidRPr="00F0463D">
        <w:rPr>
          <w:rFonts w:ascii="Calibri" w:eastAsia="Times New Roman" w:hAnsi="Calibri" w:cs="Calibri"/>
          <w:color w:val="000000"/>
          <w:lang w:val="en-IN"/>
        </w:rPr>
        <w:t>“Equity vs. Equality: What’s the Difference - Examples &amp; Definitions,” </w:t>
      </w:r>
      <w:r w:rsidRPr="00F0463D">
        <w:rPr>
          <w:rFonts w:ascii="Calibri" w:eastAsia="Times New Roman" w:hAnsi="Calibri" w:cs="Calibri"/>
          <w:i/>
          <w:iCs/>
          <w:color w:val="000000"/>
          <w:lang w:val="en-IN"/>
        </w:rPr>
        <w:t>United Way NCA</w:t>
      </w:r>
      <w:r w:rsidRPr="00F0463D">
        <w:rPr>
          <w:rFonts w:ascii="Calibri" w:eastAsia="Times New Roman" w:hAnsi="Calibri" w:cs="Calibri"/>
          <w:color w:val="000000"/>
          <w:lang w:val="en-IN"/>
        </w:rPr>
        <w:t xml:space="preserve">, Jun. 22, 2021. </w:t>
      </w:r>
      <w:hyperlink r:id="rId17" w:history="1">
        <w:r w:rsidR="00261713" w:rsidRPr="00F0463D">
          <w:rPr>
            <w:rStyle w:val="Hyperlink"/>
            <w:rFonts w:ascii="Calibri" w:eastAsia="Times New Roman" w:hAnsi="Calibri" w:cs="Calibri"/>
            <w:lang w:val="en-IN"/>
          </w:rPr>
          <w:t>https://unitedwaynca.org/blog/equity-vs-equality/</w:t>
        </w:r>
      </w:hyperlink>
    </w:p>
    <w:p w14:paraId="4E3356BB" w14:textId="0E2FC594" w:rsidR="00BE06A0" w:rsidRPr="00DE1751" w:rsidRDefault="00261713" w:rsidP="008B0EE5">
      <w:pPr>
        <w:spacing w:after="120" w:line="240" w:lineRule="auto"/>
        <w:rPr>
          <w:rFonts w:ascii="Calibri" w:eastAsia="Times New Roman" w:hAnsi="Calibri" w:cs="Calibri"/>
          <w:color w:val="000000"/>
          <w:lang w:val="en-IN"/>
        </w:rPr>
      </w:pPr>
      <w:r w:rsidRPr="00261713">
        <w:rPr>
          <w:rFonts w:ascii="Calibri" w:eastAsia="Times New Roman" w:hAnsi="Calibri" w:cs="Calibri"/>
          <w:color w:val="000000"/>
          <w:lang w:val="en-IN"/>
        </w:rPr>
        <w:t>[</w:t>
      </w:r>
      <w:r w:rsidR="00AB37E5">
        <w:rPr>
          <w:rFonts w:ascii="Calibri" w:eastAsia="Times New Roman" w:hAnsi="Calibri" w:cs="Calibri"/>
          <w:color w:val="000000"/>
          <w:lang w:val="en-IN"/>
        </w:rPr>
        <w:t>11</w:t>
      </w:r>
      <w:r w:rsidRPr="00261713">
        <w:rPr>
          <w:rFonts w:ascii="Calibri" w:eastAsia="Times New Roman" w:hAnsi="Calibri" w:cs="Calibri"/>
          <w:color w:val="000000"/>
          <w:lang w:val="en-IN"/>
        </w:rPr>
        <w:t>]</w:t>
      </w:r>
      <w:r w:rsidRPr="00DE1751">
        <w:rPr>
          <w:rFonts w:ascii="Calibri" w:eastAsia="Times New Roman" w:hAnsi="Calibri" w:cs="Calibri"/>
          <w:color w:val="000000"/>
          <w:lang w:val="en-IN"/>
        </w:rPr>
        <w:t xml:space="preserve"> </w:t>
      </w:r>
      <w:r w:rsidRPr="00261713">
        <w:rPr>
          <w:rFonts w:ascii="Calibri" w:eastAsia="Times New Roman" w:hAnsi="Calibri" w:cs="Calibri"/>
          <w:color w:val="000000"/>
          <w:lang w:val="en-IN"/>
        </w:rPr>
        <w:t>P. Wilson, “SPECIAL INTEREST ARTICLE Barriers to Indigenous Perspectives in Education,” </w:t>
      </w:r>
      <w:r w:rsidRPr="00261713">
        <w:rPr>
          <w:rFonts w:ascii="Calibri" w:eastAsia="Times New Roman" w:hAnsi="Calibri" w:cs="Calibri"/>
          <w:i/>
          <w:iCs/>
          <w:color w:val="000000"/>
          <w:lang w:val="en-IN"/>
        </w:rPr>
        <w:t>BU Journal of Graduate Studies in Education</w:t>
      </w:r>
      <w:r w:rsidRPr="00261713">
        <w:rPr>
          <w:rFonts w:ascii="Calibri" w:eastAsia="Times New Roman" w:hAnsi="Calibri" w:cs="Calibri"/>
          <w:color w:val="000000"/>
          <w:lang w:val="en-IN"/>
        </w:rPr>
        <w:t xml:space="preserve">, vol. 13, p. 2021, Available: </w:t>
      </w:r>
      <w:hyperlink r:id="rId18" w:history="1">
        <w:r w:rsidR="00BE06A0" w:rsidRPr="00261713">
          <w:rPr>
            <w:rStyle w:val="Hyperlink"/>
            <w:rFonts w:ascii="Calibri" w:eastAsia="Times New Roman" w:hAnsi="Calibri" w:cs="Calibri"/>
            <w:lang w:val="en-IN"/>
          </w:rPr>
          <w:t>https://files.eric.ed.gov/fulltext/EJ1306970.pdf</w:t>
        </w:r>
      </w:hyperlink>
    </w:p>
    <w:p w14:paraId="37A4B311" w14:textId="1338C451" w:rsidR="000108F2" w:rsidRPr="008B0EE5" w:rsidRDefault="00BE06A0" w:rsidP="008B0EE5">
      <w:pPr>
        <w:spacing w:after="120" w:line="240" w:lineRule="auto"/>
        <w:rPr>
          <w:rFonts w:ascii="Calibri" w:eastAsia="Times New Roman" w:hAnsi="Calibri" w:cs="Calibri"/>
          <w:color w:val="000000"/>
          <w:lang w:val="en-IN"/>
        </w:rPr>
      </w:pPr>
      <w:r w:rsidRPr="00BE06A0">
        <w:rPr>
          <w:rFonts w:ascii="Calibri" w:eastAsia="Times New Roman" w:hAnsi="Calibri" w:cs="Calibri"/>
          <w:color w:val="000000"/>
          <w:lang w:val="en-IN"/>
        </w:rPr>
        <w:t>[1</w:t>
      </w:r>
      <w:r w:rsidR="00AB37E5">
        <w:rPr>
          <w:rFonts w:ascii="Calibri" w:eastAsia="Times New Roman" w:hAnsi="Calibri" w:cs="Calibri"/>
          <w:color w:val="000000"/>
          <w:lang w:val="en-IN"/>
        </w:rPr>
        <w:t>2</w:t>
      </w:r>
      <w:r w:rsidRPr="00BE06A0">
        <w:rPr>
          <w:rFonts w:ascii="Calibri" w:eastAsia="Times New Roman" w:hAnsi="Calibri" w:cs="Calibri"/>
          <w:color w:val="000000"/>
          <w:lang w:val="en-IN"/>
        </w:rPr>
        <w:t>]</w:t>
      </w:r>
      <w:r w:rsidRPr="00DE1751">
        <w:rPr>
          <w:rFonts w:ascii="Calibri" w:eastAsia="Times New Roman" w:hAnsi="Calibri" w:cs="Calibri"/>
          <w:color w:val="000000"/>
          <w:lang w:val="en-IN"/>
        </w:rPr>
        <w:t xml:space="preserve"> </w:t>
      </w:r>
      <w:r w:rsidRPr="00BE06A0">
        <w:rPr>
          <w:rFonts w:ascii="Calibri" w:eastAsia="Times New Roman" w:hAnsi="Calibri" w:cs="Calibri"/>
          <w:color w:val="000000"/>
          <w:lang w:val="en-IN"/>
        </w:rPr>
        <w:t xml:space="preserve">D. Weston, “Importance of Safe Water for Aboriginal Children’s Education,” Feb. 01, 2019. </w:t>
      </w:r>
      <w:hyperlink r:id="rId19" w:history="1">
        <w:r w:rsidRPr="00BE06A0">
          <w:rPr>
            <w:rStyle w:val="Hyperlink"/>
            <w:rFonts w:ascii="Calibri" w:eastAsia="Times New Roman" w:hAnsi="Calibri" w:cs="Calibri"/>
            <w:lang w:val="en-IN"/>
          </w:rPr>
          <w:t>https://heartandart.ca/the-importance-of-water-safety-to-aboriginal-childrens-education-in-canada/</w:t>
        </w:r>
      </w:hyperlink>
      <w:r w:rsidRPr="00DE1751">
        <w:rPr>
          <w:rFonts w:ascii="Calibri" w:eastAsia="Times New Roman" w:hAnsi="Calibri" w:cs="Calibri"/>
          <w:color w:val="000000"/>
          <w:lang w:val="en-IN"/>
        </w:rPr>
        <w:t xml:space="preserve"> </w:t>
      </w:r>
      <w:r w:rsidRPr="00BE06A0">
        <w:rPr>
          <w:rFonts w:ascii="Calibri" w:eastAsia="Times New Roman" w:hAnsi="Calibri" w:cs="Calibri"/>
          <w:color w:val="000000"/>
          <w:lang w:val="en-IN"/>
        </w:rPr>
        <w:t>(accessed May 26, 2023).</w:t>
      </w:r>
    </w:p>
    <w:p w14:paraId="3E5E1946" w14:textId="755DB3F5" w:rsidR="001966BD" w:rsidRDefault="000108F2" w:rsidP="008B0EE5">
      <w:pPr>
        <w:spacing w:after="120" w:line="240" w:lineRule="auto"/>
        <w:rPr>
          <w:rFonts w:ascii="Calibri" w:eastAsia="Times New Roman" w:hAnsi="Calibri" w:cs="Calibri"/>
          <w:color w:val="000000"/>
          <w:lang w:val="en-IN"/>
        </w:rPr>
      </w:pPr>
      <w:r w:rsidRPr="000108F2">
        <w:rPr>
          <w:rFonts w:ascii="Calibri" w:eastAsia="Times New Roman" w:hAnsi="Calibri" w:cs="Calibri"/>
          <w:color w:val="000000"/>
          <w:lang w:val="en-IN"/>
        </w:rPr>
        <w:t>[1</w:t>
      </w:r>
      <w:r w:rsidR="00AB37E5">
        <w:rPr>
          <w:rFonts w:ascii="Calibri" w:eastAsia="Times New Roman" w:hAnsi="Calibri" w:cs="Calibri"/>
          <w:color w:val="000000"/>
          <w:lang w:val="en-IN"/>
        </w:rPr>
        <w:t>3</w:t>
      </w:r>
      <w:r w:rsidRPr="000108F2">
        <w:rPr>
          <w:rFonts w:ascii="Calibri" w:eastAsia="Times New Roman" w:hAnsi="Calibri" w:cs="Calibri"/>
          <w:color w:val="000000"/>
          <w:lang w:val="en-IN"/>
        </w:rPr>
        <w:t>]</w:t>
      </w:r>
      <w:r w:rsidRPr="00DE1751">
        <w:rPr>
          <w:rFonts w:ascii="Calibri" w:eastAsia="Times New Roman" w:hAnsi="Calibri" w:cs="Calibri"/>
          <w:color w:val="000000"/>
          <w:lang w:val="en-IN"/>
        </w:rPr>
        <w:t xml:space="preserve"> </w:t>
      </w:r>
      <w:r w:rsidRPr="000108F2">
        <w:rPr>
          <w:rFonts w:ascii="Calibri" w:eastAsia="Times New Roman" w:hAnsi="Calibri" w:cs="Calibri"/>
          <w:color w:val="000000"/>
          <w:lang w:val="en-IN"/>
        </w:rPr>
        <w:t>United Nations, “Challenges and Opportunities for Indigenous Peoples’ Sustainability,” </w:t>
      </w:r>
      <w:r w:rsidRPr="000108F2">
        <w:rPr>
          <w:rFonts w:ascii="Calibri" w:eastAsia="Times New Roman" w:hAnsi="Calibri" w:cs="Calibri"/>
          <w:i/>
          <w:iCs/>
          <w:color w:val="000000"/>
          <w:lang w:val="en-IN"/>
        </w:rPr>
        <w:t>UN News Centre</w:t>
      </w:r>
      <w:r w:rsidRPr="000108F2">
        <w:rPr>
          <w:rFonts w:ascii="Calibri" w:eastAsia="Times New Roman" w:hAnsi="Calibri" w:cs="Calibri"/>
          <w:color w:val="000000"/>
          <w:lang w:val="en-IN"/>
        </w:rPr>
        <w:t xml:space="preserve">, Apr. 23, 2021. Available: </w:t>
      </w:r>
      <w:hyperlink r:id="rId20" w:history="1">
        <w:r w:rsidRPr="000108F2">
          <w:rPr>
            <w:rStyle w:val="Hyperlink"/>
            <w:rFonts w:ascii="Calibri" w:eastAsia="Times New Roman" w:hAnsi="Calibri" w:cs="Calibri"/>
            <w:lang w:val="en-IN"/>
          </w:rPr>
          <w:t>https://www.un.org/development/desa/dspd/2021/04/indigenous-peoples-sustainability/</w:t>
        </w:r>
      </w:hyperlink>
    </w:p>
    <w:p w14:paraId="0047ABE6" w14:textId="0495DC81" w:rsidR="00836B33" w:rsidRPr="00836B33" w:rsidRDefault="001966BD" w:rsidP="008B0EE5">
      <w:pPr>
        <w:spacing w:after="120" w:line="240" w:lineRule="auto"/>
        <w:rPr>
          <w:rFonts w:ascii="Calibri" w:eastAsia="Times New Roman" w:hAnsi="Calibri" w:cs="Calibri"/>
          <w:color w:val="000000"/>
          <w:sz w:val="27"/>
          <w:szCs w:val="27"/>
          <w:lang w:val="en-IN"/>
        </w:rPr>
      </w:pPr>
      <w:r w:rsidRPr="000108F2">
        <w:rPr>
          <w:rFonts w:ascii="Calibri" w:eastAsia="Times New Roman" w:hAnsi="Calibri" w:cs="Calibri"/>
          <w:color w:val="000000"/>
          <w:lang w:val="en-IN"/>
        </w:rPr>
        <w:t>[1</w:t>
      </w:r>
      <w:r w:rsidR="00AB37E5">
        <w:rPr>
          <w:rFonts w:ascii="Calibri" w:eastAsia="Times New Roman" w:hAnsi="Calibri" w:cs="Calibri"/>
          <w:color w:val="000000"/>
          <w:lang w:val="en-IN"/>
        </w:rPr>
        <w:t>4</w:t>
      </w:r>
      <w:r w:rsidRPr="000108F2">
        <w:rPr>
          <w:rFonts w:ascii="Calibri" w:eastAsia="Times New Roman" w:hAnsi="Calibri" w:cs="Calibri"/>
          <w:color w:val="000000"/>
          <w:lang w:val="en-IN"/>
        </w:rPr>
        <w:t>]</w:t>
      </w:r>
      <w:r w:rsidRPr="00DE1751">
        <w:rPr>
          <w:rFonts w:ascii="Calibri" w:eastAsia="Times New Roman" w:hAnsi="Calibri" w:cs="Calibri"/>
          <w:color w:val="000000"/>
          <w:lang w:val="en-IN"/>
        </w:rPr>
        <w:t xml:space="preserve"> </w:t>
      </w:r>
      <w:r w:rsidRPr="000108F2">
        <w:rPr>
          <w:rFonts w:ascii="Calibri" w:eastAsia="Times New Roman" w:hAnsi="Calibri" w:cs="Calibri"/>
          <w:color w:val="000000"/>
          <w:lang w:val="en-IN"/>
        </w:rPr>
        <w:t>P. J. Kim, “Social Determinants of Health Inequities in Indigenous Canadians Through a Life Course Approach to Colonialism and the Residential School System,” </w:t>
      </w:r>
      <w:r w:rsidRPr="000108F2">
        <w:rPr>
          <w:rFonts w:ascii="Calibri" w:eastAsia="Times New Roman" w:hAnsi="Calibri" w:cs="Calibri"/>
          <w:i/>
          <w:iCs/>
          <w:color w:val="000000"/>
          <w:lang w:val="en-IN"/>
        </w:rPr>
        <w:t>Health Equity</w:t>
      </w:r>
      <w:r w:rsidRPr="000108F2">
        <w:rPr>
          <w:rFonts w:ascii="Calibri" w:eastAsia="Times New Roman" w:hAnsi="Calibri" w:cs="Calibri"/>
          <w:color w:val="000000"/>
          <w:lang w:val="en-IN"/>
        </w:rPr>
        <w:t xml:space="preserve">, vol. 3, no. 1, pp. 378–381, Jul. 2019, doi: </w:t>
      </w:r>
      <w:hyperlink r:id="rId21" w:history="1">
        <w:r w:rsidRPr="000108F2">
          <w:rPr>
            <w:rStyle w:val="Hyperlink"/>
            <w:rFonts w:ascii="Calibri" w:eastAsia="Times New Roman" w:hAnsi="Calibri" w:cs="Calibri"/>
            <w:lang w:val="en-IN"/>
          </w:rPr>
          <w:t>https://doi.org/10.1089/heq.2019.0041</w:t>
        </w:r>
      </w:hyperlink>
      <w:r w:rsidRPr="000108F2">
        <w:rPr>
          <w:rFonts w:ascii="Calibri" w:eastAsia="Times New Roman" w:hAnsi="Calibri" w:cs="Calibri"/>
          <w:color w:val="000000"/>
          <w:sz w:val="27"/>
          <w:szCs w:val="27"/>
          <w:lang w:val="en-IN"/>
        </w:rPr>
        <w:t>.</w:t>
      </w:r>
      <w:bookmarkEnd w:id="10"/>
      <w:bookmarkEnd w:id="11"/>
    </w:p>
    <w:p w14:paraId="133010E7" w14:textId="77777777" w:rsidR="0006680C" w:rsidRPr="0006680C" w:rsidRDefault="0006680C" w:rsidP="0006680C">
      <w:pPr>
        <w:spacing w:line="240" w:lineRule="auto"/>
        <w:rPr>
          <w:rFonts w:ascii="Calibri" w:eastAsia="Times New Roman" w:hAnsi="Calibri" w:cs="Calibri"/>
          <w:color w:val="000000"/>
          <w:sz w:val="27"/>
          <w:szCs w:val="27"/>
          <w:lang w:val="en-IN"/>
        </w:rPr>
      </w:pPr>
    </w:p>
    <w:p w14:paraId="33A96DC8" w14:textId="77777777" w:rsidR="00531521" w:rsidRPr="00531521" w:rsidRDefault="00531521" w:rsidP="00531521">
      <w:pPr>
        <w:rPr>
          <w:rFonts w:asciiTheme="majorHAnsi" w:eastAsia="Calibri" w:hAnsiTheme="majorHAnsi" w:cstheme="majorHAnsi"/>
        </w:rPr>
      </w:pPr>
    </w:p>
    <w:sectPr w:rsidR="00531521" w:rsidRPr="00531521" w:rsidSect="00DB1ADA">
      <w:footerReference w:type="defaul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080C0" w14:textId="77777777" w:rsidR="00587D0C" w:rsidRDefault="00587D0C">
      <w:pPr>
        <w:spacing w:line="240" w:lineRule="auto"/>
      </w:pPr>
      <w:r>
        <w:separator/>
      </w:r>
    </w:p>
  </w:endnote>
  <w:endnote w:type="continuationSeparator" w:id="0">
    <w:p w14:paraId="15CF9BAA" w14:textId="77777777" w:rsidR="00587D0C" w:rsidRDefault="00587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5DCD32F" w:rsidR="004525D7" w:rsidRDefault="00DC374E">
    <w:pPr>
      <w:jc w:val="right"/>
    </w:pPr>
    <w:r>
      <w:fldChar w:fldCharType="begin"/>
    </w:r>
    <w:r>
      <w:instrText>PAGE</w:instrText>
    </w:r>
    <w:r>
      <w:fldChar w:fldCharType="separate"/>
    </w:r>
    <w:r w:rsidR="00DB1AD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4144577B" w:rsidR="004525D7" w:rsidRDefault="00DC374E">
    <w:pPr>
      <w:jc w:val="right"/>
    </w:pPr>
    <w:r>
      <w:fldChar w:fldCharType="begin"/>
    </w:r>
    <w:r>
      <w:instrText>PAGE</w:instrText>
    </w:r>
    <w:r>
      <w:fldChar w:fldCharType="separate"/>
    </w:r>
    <w:r w:rsidR="00DB1AD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B00B" w14:textId="77777777" w:rsidR="00587D0C" w:rsidRDefault="00587D0C">
      <w:pPr>
        <w:spacing w:line="240" w:lineRule="auto"/>
      </w:pPr>
      <w:r>
        <w:separator/>
      </w:r>
    </w:p>
  </w:footnote>
  <w:footnote w:type="continuationSeparator" w:id="0">
    <w:p w14:paraId="1F35EFD6" w14:textId="77777777" w:rsidR="00587D0C" w:rsidRDefault="00587D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D7"/>
    <w:rsid w:val="000108F2"/>
    <w:rsid w:val="0006680C"/>
    <w:rsid w:val="00094A5A"/>
    <w:rsid w:val="000D6887"/>
    <w:rsid w:val="000E52E8"/>
    <w:rsid w:val="001270B8"/>
    <w:rsid w:val="00192D92"/>
    <w:rsid w:val="001966BD"/>
    <w:rsid w:val="001A007E"/>
    <w:rsid w:val="001A7E0E"/>
    <w:rsid w:val="001B43C9"/>
    <w:rsid w:val="00261713"/>
    <w:rsid w:val="00290D8C"/>
    <w:rsid w:val="00293102"/>
    <w:rsid w:val="00294A8A"/>
    <w:rsid w:val="002D67D9"/>
    <w:rsid w:val="003152C1"/>
    <w:rsid w:val="00324672"/>
    <w:rsid w:val="003314C7"/>
    <w:rsid w:val="00334A2F"/>
    <w:rsid w:val="0043228F"/>
    <w:rsid w:val="004525D7"/>
    <w:rsid w:val="00464DC4"/>
    <w:rsid w:val="00471093"/>
    <w:rsid w:val="00492630"/>
    <w:rsid w:val="004A442F"/>
    <w:rsid w:val="0051671F"/>
    <w:rsid w:val="00531521"/>
    <w:rsid w:val="00587D0C"/>
    <w:rsid w:val="0065489C"/>
    <w:rsid w:val="006B0133"/>
    <w:rsid w:val="00743C99"/>
    <w:rsid w:val="00744FEA"/>
    <w:rsid w:val="0076153A"/>
    <w:rsid w:val="00836B33"/>
    <w:rsid w:val="008A5E39"/>
    <w:rsid w:val="008B0EE5"/>
    <w:rsid w:val="008F6001"/>
    <w:rsid w:val="009208FA"/>
    <w:rsid w:val="009353B9"/>
    <w:rsid w:val="00974CAC"/>
    <w:rsid w:val="00A24AF9"/>
    <w:rsid w:val="00A42482"/>
    <w:rsid w:val="00A70545"/>
    <w:rsid w:val="00AB37E5"/>
    <w:rsid w:val="00AE0864"/>
    <w:rsid w:val="00AF0668"/>
    <w:rsid w:val="00B0247C"/>
    <w:rsid w:val="00B15D31"/>
    <w:rsid w:val="00BC6779"/>
    <w:rsid w:val="00BD1EA5"/>
    <w:rsid w:val="00BE06A0"/>
    <w:rsid w:val="00C0577E"/>
    <w:rsid w:val="00C84B2E"/>
    <w:rsid w:val="00CC65DC"/>
    <w:rsid w:val="00D672F5"/>
    <w:rsid w:val="00D708A5"/>
    <w:rsid w:val="00DB1ADA"/>
    <w:rsid w:val="00DC374E"/>
    <w:rsid w:val="00DD7AEA"/>
    <w:rsid w:val="00DE1751"/>
    <w:rsid w:val="00DE4F49"/>
    <w:rsid w:val="00E00627"/>
    <w:rsid w:val="00E04B74"/>
    <w:rsid w:val="00E05401"/>
    <w:rsid w:val="00E121D4"/>
    <w:rsid w:val="00E735BE"/>
    <w:rsid w:val="00EC12EA"/>
    <w:rsid w:val="00EF6588"/>
    <w:rsid w:val="00F0463D"/>
    <w:rsid w:val="00F3589B"/>
    <w:rsid w:val="00F61B30"/>
    <w:rsid w:val="00FA539B"/>
    <w:rsid w:val="00FB53A0"/>
    <w:rsid w:val="00FD2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9E9E"/>
  <w15:docId w15:val="{B49F3E91-5051-40E2-853E-1B9673C8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ui-provider">
    <w:name w:val="ui-provider"/>
    <w:basedOn w:val="DefaultParagraphFont"/>
    <w:rsid w:val="00531521"/>
  </w:style>
  <w:style w:type="paragraph" w:styleId="NormalWeb">
    <w:name w:val="Normal (Web)"/>
    <w:basedOn w:val="Normal"/>
    <w:uiPriority w:val="99"/>
    <w:semiHidden/>
    <w:unhideWhenUsed/>
    <w:rsid w:val="0053152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531521"/>
    <w:rPr>
      <w:color w:val="0000FF"/>
      <w:u w:val="single"/>
    </w:rPr>
  </w:style>
  <w:style w:type="character" w:styleId="UnresolvedMention">
    <w:name w:val="Unresolved Mention"/>
    <w:basedOn w:val="DefaultParagraphFont"/>
    <w:uiPriority w:val="99"/>
    <w:semiHidden/>
    <w:unhideWhenUsed/>
    <w:rsid w:val="00531521"/>
    <w:rPr>
      <w:color w:val="605E5C"/>
      <w:shd w:val="clear" w:color="auto" w:fill="E1DFDD"/>
    </w:rPr>
  </w:style>
  <w:style w:type="character" w:styleId="FollowedHyperlink">
    <w:name w:val="FollowedHyperlink"/>
    <w:basedOn w:val="DefaultParagraphFont"/>
    <w:uiPriority w:val="99"/>
    <w:semiHidden/>
    <w:unhideWhenUsed/>
    <w:rsid w:val="00C0577E"/>
    <w:rPr>
      <w:color w:val="800080" w:themeColor="followedHyperlink"/>
      <w:u w:val="single"/>
    </w:rPr>
  </w:style>
  <w:style w:type="paragraph" w:styleId="Header">
    <w:name w:val="header"/>
    <w:basedOn w:val="Normal"/>
    <w:link w:val="HeaderChar"/>
    <w:uiPriority w:val="99"/>
    <w:unhideWhenUsed/>
    <w:rsid w:val="00AB37E5"/>
    <w:pPr>
      <w:tabs>
        <w:tab w:val="center" w:pos="4680"/>
        <w:tab w:val="right" w:pos="9360"/>
      </w:tabs>
      <w:spacing w:line="240" w:lineRule="auto"/>
    </w:pPr>
  </w:style>
  <w:style w:type="character" w:customStyle="1" w:styleId="HeaderChar">
    <w:name w:val="Header Char"/>
    <w:basedOn w:val="DefaultParagraphFont"/>
    <w:link w:val="Header"/>
    <w:uiPriority w:val="99"/>
    <w:rsid w:val="00AB37E5"/>
  </w:style>
  <w:style w:type="paragraph" w:styleId="Footer">
    <w:name w:val="footer"/>
    <w:basedOn w:val="Normal"/>
    <w:link w:val="FooterChar"/>
    <w:uiPriority w:val="99"/>
    <w:unhideWhenUsed/>
    <w:rsid w:val="00AB37E5"/>
    <w:pPr>
      <w:tabs>
        <w:tab w:val="center" w:pos="4680"/>
        <w:tab w:val="right" w:pos="9360"/>
      </w:tabs>
      <w:spacing w:line="240" w:lineRule="auto"/>
    </w:pPr>
  </w:style>
  <w:style w:type="character" w:customStyle="1" w:styleId="FooterChar">
    <w:name w:val="Footer Char"/>
    <w:basedOn w:val="DefaultParagraphFont"/>
    <w:link w:val="Footer"/>
    <w:uiPriority w:val="99"/>
    <w:rsid w:val="00AB37E5"/>
  </w:style>
  <w:style w:type="character" w:customStyle="1" w:styleId="normaltextrun">
    <w:name w:val="normaltextrun"/>
    <w:basedOn w:val="DefaultParagraphFont"/>
    <w:rsid w:val="0076153A"/>
  </w:style>
  <w:style w:type="character" w:customStyle="1" w:styleId="eop">
    <w:name w:val="eop"/>
    <w:basedOn w:val="DefaultParagraphFont"/>
    <w:rsid w:val="00761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671">
      <w:bodyDiv w:val="1"/>
      <w:marLeft w:val="0"/>
      <w:marRight w:val="0"/>
      <w:marTop w:val="0"/>
      <w:marBottom w:val="0"/>
      <w:divBdr>
        <w:top w:val="none" w:sz="0" w:space="0" w:color="auto"/>
        <w:left w:val="none" w:sz="0" w:space="0" w:color="auto"/>
        <w:bottom w:val="none" w:sz="0" w:space="0" w:color="auto"/>
        <w:right w:val="none" w:sz="0" w:space="0" w:color="auto"/>
      </w:divBdr>
      <w:divsChild>
        <w:div w:id="1086727492">
          <w:marLeft w:val="0"/>
          <w:marRight w:val="720"/>
          <w:marTop w:val="0"/>
          <w:marBottom w:val="0"/>
          <w:divBdr>
            <w:top w:val="none" w:sz="0" w:space="0" w:color="auto"/>
            <w:left w:val="none" w:sz="0" w:space="0" w:color="auto"/>
            <w:bottom w:val="none" w:sz="0" w:space="0" w:color="auto"/>
            <w:right w:val="none" w:sz="0" w:space="0" w:color="auto"/>
          </w:divBdr>
        </w:div>
        <w:div w:id="830297948">
          <w:marLeft w:val="0"/>
          <w:marRight w:val="0"/>
          <w:marTop w:val="0"/>
          <w:marBottom w:val="0"/>
          <w:divBdr>
            <w:top w:val="none" w:sz="0" w:space="0" w:color="auto"/>
            <w:left w:val="none" w:sz="0" w:space="0" w:color="auto"/>
            <w:bottom w:val="none" w:sz="0" w:space="0" w:color="auto"/>
            <w:right w:val="none" w:sz="0" w:space="0" w:color="auto"/>
          </w:divBdr>
        </w:div>
      </w:divsChild>
    </w:div>
    <w:div w:id="48303662">
      <w:bodyDiv w:val="1"/>
      <w:marLeft w:val="0"/>
      <w:marRight w:val="0"/>
      <w:marTop w:val="0"/>
      <w:marBottom w:val="0"/>
      <w:divBdr>
        <w:top w:val="none" w:sz="0" w:space="0" w:color="auto"/>
        <w:left w:val="none" w:sz="0" w:space="0" w:color="auto"/>
        <w:bottom w:val="none" w:sz="0" w:space="0" w:color="auto"/>
        <w:right w:val="none" w:sz="0" w:space="0" w:color="auto"/>
      </w:divBdr>
      <w:divsChild>
        <w:div w:id="861090541">
          <w:marLeft w:val="0"/>
          <w:marRight w:val="720"/>
          <w:marTop w:val="0"/>
          <w:marBottom w:val="0"/>
          <w:divBdr>
            <w:top w:val="none" w:sz="0" w:space="0" w:color="auto"/>
            <w:left w:val="none" w:sz="0" w:space="0" w:color="auto"/>
            <w:bottom w:val="none" w:sz="0" w:space="0" w:color="auto"/>
            <w:right w:val="none" w:sz="0" w:space="0" w:color="auto"/>
          </w:divBdr>
        </w:div>
        <w:div w:id="1145126489">
          <w:marLeft w:val="0"/>
          <w:marRight w:val="0"/>
          <w:marTop w:val="0"/>
          <w:marBottom w:val="0"/>
          <w:divBdr>
            <w:top w:val="none" w:sz="0" w:space="0" w:color="auto"/>
            <w:left w:val="none" w:sz="0" w:space="0" w:color="auto"/>
            <w:bottom w:val="none" w:sz="0" w:space="0" w:color="auto"/>
            <w:right w:val="none" w:sz="0" w:space="0" w:color="auto"/>
          </w:divBdr>
        </w:div>
      </w:divsChild>
    </w:div>
    <w:div w:id="51736208">
      <w:bodyDiv w:val="1"/>
      <w:marLeft w:val="0"/>
      <w:marRight w:val="0"/>
      <w:marTop w:val="0"/>
      <w:marBottom w:val="0"/>
      <w:divBdr>
        <w:top w:val="none" w:sz="0" w:space="0" w:color="auto"/>
        <w:left w:val="none" w:sz="0" w:space="0" w:color="auto"/>
        <w:bottom w:val="none" w:sz="0" w:space="0" w:color="auto"/>
        <w:right w:val="none" w:sz="0" w:space="0" w:color="auto"/>
      </w:divBdr>
      <w:divsChild>
        <w:div w:id="1125395223">
          <w:marLeft w:val="0"/>
          <w:marRight w:val="720"/>
          <w:marTop w:val="0"/>
          <w:marBottom w:val="0"/>
          <w:divBdr>
            <w:top w:val="none" w:sz="0" w:space="0" w:color="auto"/>
            <w:left w:val="none" w:sz="0" w:space="0" w:color="auto"/>
            <w:bottom w:val="none" w:sz="0" w:space="0" w:color="auto"/>
            <w:right w:val="none" w:sz="0" w:space="0" w:color="auto"/>
          </w:divBdr>
        </w:div>
        <w:div w:id="906114098">
          <w:marLeft w:val="0"/>
          <w:marRight w:val="0"/>
          <w:marTop w:val="0"/>
          <w:marBottom w:val="0"/>
          <w:divBdr>
            <w:top w:val="none" w:sz="0" w:space="0" w:color="auto"/>
            <w:left w:val="none" w:sz="0" w:space="0" w:color="auto"/>
            <w:bottom w:val="none" w:sz="0" w:space="0" w:color="auto"/>
            <w:right w:val="none" w:sz="0" w:space="0" w:color="auto"/>
          </w:divBdr>
        </w:div>
      </w:divsChild>
    </w:div>
    <w:div w:id="70781587">
      <w:bodyDiv w:val="1"/>
      <w:marLeft w:val="0"/>
      <w:marRight w:val="0"/>
      <w:marTop w:val="0"/>
      <w:marBottom w:val="0"/>
      <w:divBdr>
        <w:top w:val="none" w:sz="0" w:space="0" w:color="auto"/>
        <w:left w:val="none" w:sz="0" w:space="0" w:color="auto"/>
        <w:bottom w:val="none" w:sz="0" w:space="0" w:color="auto"/>
        <w:right w:val="none" w:sz="0" w:space="0" w:color="auto"/>
      </w:divBdr>
    </w:div>
    <w:div w:id="148402321">
      <w:bodyDiv w:val="1"/>
      <w:marLeft w:val="0"/>
      <w:marRight w:val="0"/>
      <w:marTop w:val="0"/>
      <w:marBottom w:val="0"/>
      <w:divBdr>
        <w:top w:val="none" w:sz="0" w:space="0" w:color="auto"/>
        <w:left w:val="none" w:sz="0" w:space="0" w:color="auto"/>
        <w:bottom w:val="none" w:sz="0" w:space="0" w:color="auto"/>
        <w:right w:val="none" w:sz="0" w:space="0" w:color="auto"/>
      </w:divBdr>
      <w:divsChild>
        <w:div w:id="2036760000">
          <w:marLeft w:val="0"/>
          <w:marRight w:val="720"/>
          <w:marTop w:val="0"/>
          <w:marBottom w:val="0"/>
          <w:divBdr>
            <w:top w:val="none" w:sz="0" w:space="0" w:color="auto"/>
            <w:left w:val="none" w:sz="0" w:space="0" w:color="auto"/>
            <w:bottom w:val="none" w:sz="0" w:space="0" w:color="auto"/>
            <w:right w:val="none" w:sz="0" w:space="0" w:color="auto"/>
          </w:divBdr>
        </w:div>
        <w:div w:id="1403676232">
          <w:marLeft w:val="0"/>
          <w:marRight w:val="0"/>
          <w:marTop w:val="0"/>
          <w:marBottom w:val="0"/>
          <w:divBdr>
            <w:top w:val="none" w:sz="0" w:space="0" w:color="auto"/>
            <w:left w:val="none" w:sz="0" w:space="0" w:color="auto"/>
            <w:bottom w:val="none" w:sz="0" w:space="0" w:color="auto"/>
            <w:right w:val="none" w:sz="0" w:space="0" w:color="auto"/>
          </w:divBdr>
        </w:div>
      </w:divsChild>
    </w:div>
    <w:div w:id="168058322">
      <w:bodyDiv w:val="1"/>
      <w:marLeft w:val="0"/>
      <w:marRight w:val="0"/>
      <w:marTop w:val="0"/>
      <w:marBottom w:val="0"/>
      <w:divBdr>
        <w:top w:val="none" w:sz="0" w:space="0" w:color="auto"/>
        <w:left w:val="none" w:sz="0" w:space="0" w:color="auto"/>
        <w:bottom w:val="none" w:sz="0" w:space="0" w:color="auto"/>
        <w:right w:val="none" w:sz="0" w:space="0" w:color="auto"/>
      </w:divBdr>
      <w:divsChild>
        <w:div w:id="1293094144">
          <w:marLeft w:val="0"/>
          <w:marRight w:val="720"/>
          <w:marTop w:val="0"/>
          <w:marBottom w:val="0"/>
          <w:divBdr>
            <w:top w:val="none" w:sz="0" w:space="0" w:color="auto"/>
            <w:left w:val="none" w:sz="0" w:space="0" w:color="auto"/>
            <w:bottom w:val="none" w:sz="0" w:space="0" w:color="auto"/>
            <w:right w:val="none" w:sz="0" w:space="0" w:color="auto"/>
          </w:divBdr>
        </w:div>
        <w:div w:id="1403403478">
          <w:marLeft w:val="0"/>
          <w:marRight w:val="0"/>
          <w:marTop w:val="0"/>
          <w:marBottom w:val="0"/>
          <w:divBdr>
            <w:top w:val="none" w:sz="0" w:space="0" w:color="auto"/>
            <w:left w:val="none" w:sz="0" w:space="0" w:color="auto"/>
            <w:bottom w:val="none" w:sz="0" w:space="0" w:color="auto"/>
            <w:right w:val="none" w:sz="0" w:space="0" w:color="auto"/>
          </w:divBdr>
        </w:div>
      </w:divsChild>
    </w:div>
    <w:div w:id="275916897">
      <w:bodyDiv w:val="1"/>
      <w:marLeft w:val="0"/>
      <w:marRight w:val="0"/>
      <w:marTop w:val="0"/>
      <w:marBottom w:val="0"/>
      <w:divBdr>
        <w:top w:val="none" w:sz="0" w:space="0" w:color="auto"/>
        <w:left w:val="none" w:sz="0" w:space="0" w:color="auto"/>
        <w:bottom w:val="none" w:sz="0" w:space="0" w:color="auto"/>
        <w:right w:val="none" w:sz="0" w:space="0" w:color="auto"/>
      </w:divBdr>
      <w:divsChild>
        <w:div w:id="300424529">
          <w:marLeft w:val="0"/>
          <w:marRight w:val="720"/>
          <w:marTop w:val="0"/>
          <w:marBottom w:val="0"/>
          <w:divBdr>
            <w:top w:val="none" w:sz="0" w:space="0" w:color="auto"/>
            <w:left w:val="none" w:sz="0" w:space="0" w:color="auto"/>
            <w:bottom w:val="none" w:sz="0" w:space="0" w:color="auto"/>
            <w:right w:val="none" w:sz="0" w:space="0" w:color="auto"/>
          </w:divBdr>
        </w:div>
        <w:div w:id="814879502">
          <w:marLeft w:val="0"/>
          <w:marRight w:val="0"/>
          <w:marTop w:val="0"/>
          <w:marBottom w:val="0"/>
          <w:divBdr>
            <w:top w:val="none" w:sz="0" w:space="0" w:color="auto"/>
            <w:left w:val="none" w:sz="0" w:space="0" w:color="auto"/>
            <w:bottom w:val="none" w:sz="0" w:space="0" w:color="auto"/>
            <w:right w:val="none" w:sz="0" w:space="0" w:color="auto"/>
          </w:divBdr>
        </w:div>
      </w:divsChild>
    </w:div>
    <w:div w:id="309678769">
      <w:bodyDiv w:val="1"/>
      <w:marLeft w:val="0"/>
      <w:marRight w:val="0"/>
      <w:marTop w:val="0"/>
      <w:marBottom w:val="0"/>
      <w:divBdr>
        <w:top w:val="none" w:sz="0" w:space="0" w:color="auto"/>
        <w:left w:val="none" w:sz="0" w:space="0" w:color="auto"/>
        <w:bottom w:val="none" w:sz="0" w:space="0" w:color="auto"/>
        <w:right w:val="none" w:sz="0" w:space="0" w:color="auto"/>
      </w:divBdr>
    </w:div>
    <w:div w:id="430706423">
      <w:bodyDiv w:val="1"/>
      <w:marLeft w:val="0"/>
      <w:marRight w:val="0"/>
      <w:marTop w:val="0"/>
      <w:marBottom w:val="0"/>
      <w:divBdr>
        <w:top w:val="none" w:sz="0" w:space="0" w:color="auto"/>
        <w:left w:val="none" w:sz="0" w:space="0" w:color="auto"/>
        <w:bottom w:val="none" w:sz="0" w:space="0" w:color="auto"/>
        <w:right w:val="none" w:sz="0" w:space="0" w:color="auto"/>
      </w:divBdr>
      <w:divsChild>
        <w:div w:id="425269029">
          <w:marLeft w:val="0"/>
          <w:marRight w:val="720"/>
          <w:marTop w:val="0"/>
          <w:marBottom w:val="0"/>
          <w:divBdr>
            <w:top w:val="none" w:sz="0" w:space="0" w:color="auto"/>
            <w:left w:val="none" w:sz="0" w:space="0" w:color="auto"/>
            <w:bottom w:val="none" w:sz="0" w:space="0" w:color="auto"/>
            <w:right w:val="none" w:sz="0" w:space="0" w:color="auto"/>
          </w:divBdr>
        </w:div>
        <w:div w:id="1707028017">
          <w:marLeft w:val="0"/>
          <w:marRight w:val="0"/>
          <w:marTop w:val="0"/>
          <w:marBottom w:val="0"/>
          <w:divBdr>
            <w:top w:val="none" w:sz="0" w:space="0" w:color="auto"/>
            <w:left w:val="none" w:sz="0" w:space="0" w:color="auto"/>
            <w:bottom w:val="none" w:sz="0" w:space="0" w:color="auto"/>
            <w:right w:val="none" w:sz="0" w:space="0" w:color="auto"/>
          </w:divBdr>
        </w:div>
      </w:divsChild>
    </w:div>
    <w:div w:id="497237273">
      <w:bodyDiv w:val="1"/>
      <w:marLeft w:val="0"/>
      <w:marRight w:val="0"/>
      <w:marTop w:val="0"/>
      <w:marBottom w:val="0"/>
      <w:divBdr>
        <w:top w:val="none" w:sz="0" w:space="0" w:color="auto"/>
        <w:left w:val="none" w:sz="0" w:space="0" w:color="auto"/>
        <w:bottom w:val="none" w:sz="0" w:space="0" w:color="auto"/>
        <w:right w:val="none" w:sz="0" w:space="0" w:color="auto"/>
      </w:divBdr>
      <w:divsChild>
        <w:div w:id="1759209901">
          <w:marLeft w:val="0"/>
          <w:marRight w:val="720"/>
          <w:marTop w:val="0"/>
          <w:marBottom w:val="0"/>
          <w:divBdr>
            <w:top w:val="none" w:sz="0" w:space="0" w:color="auto"/>
            <w:left w:val="none" w:sz="0" w:space="0" w:color="auto"/>
            <w:bottom w:val="none" w:sz="0" w:space="0" w:color="auto"/>
            <w:right w:val="none" w:sz="0" w:space="0" w:color="auto"/>
          </w:divBdr>
        </w:div>
        <w:div w:id="693116617">
          <w:marLeft w:val="0"/>
          <w:marRight w:val="0"/>
          <w:marTop w:val="0"/>
          <w:marBottom w:val="0"/>
          <w:divBdr>
            <w:top w:val="none" w:sz="0" w:space="0" w:color="auto"/>
            <w:left w:val="none" w:sz="0" w:space="0" w:color="auto"/>
            <w:bottom w:val="none" w:sz="0" w:space="0" w:color="auto"/>
            <w:right w:val="none" w:sz="0" w:space="0" w:color="auto"/>
          </w:divBdr>
        </w:div>
      </w:divsChild>
    </w:div>
    <w:div w:id="510335103">
      <w:bodyDiv w:val="1"/>
      <w:marLeft w:val="0"/>
      <w:marRight w:val="0"/>
      <w:marTop w:val="0"/>
      <w:marBottom w:val="0"/>
      <w:divBdr>
        <w:top w:val="none" w:sz="0" w:space="0" w:color="auto"/>
        <w:left w:val="none" w:sz="0" w:space="0" w:color="auto"/>
        <w:bottom w:val="none" w:sz="0" w:space="0" w:color="auto"/>
        <w:right w:val="none" w:sz="0" w:space="0" w:color="auto"/>
      </w:divBdr>
      <w:divsChild>
        <w:div w:id="1284925652">
          <w:marLeft w:val="0"/>
          <w:marRight w:val="720"/>
          <w:marTop w:val="0"/>
          <w:marBottom w:val="0"/>
          <w:divBdr>
            <w:top w:val="none" w:sz="0" w:space="0" w:color="auto"/>
            <w:left w:val="none" w:sz="0" w:space="0" w:color="auto"/>
            <w:bottom w:val="none" w:sz="0" w:space="0" w:color="auto"/>
            <w:right w:val="none" w:sz="0" w:space="0" w:color="auto"/>
          </w:divBdr>
        </w:div>
        <w:div w:id="1004406455">
          <w:marLeft w:val="0"/>
          <w:marRight w:val="0"/>
          <w:marTop w:val="0"/>
          <w:marBottom w:val="0"/>
          <w:divBdr>
            <w:top w:val="none" w:sz="0" w:space="0" w:color="auto"/>
            <w:left w:val="none" w:sz="0" w:space="0" w:color="auto"/>
            <w:bottom w:val="none" w:sz="0" w:space="0" w:color="auto"/>
            <w:right w:val="none" w:sz="0" w:space="0" w:color="auto"/>
          </w:divBdr>
        </w:div>
      </w:divsChild>
    </w:div>
    <w:div w:id="615866785">
      <w:bodyDiv w:val="1"/>
      <w:marLeft w:val="0"/>
      <w:marRight w:val="0"/>
      <w:marTop w:val="0"/>
      <w:marBottom w:val="0"/>
      <w:divBdr>
        <w:top w:val="none" w:sz="0" w:space="0" w:color="auto"/>
        <w:left w:val="none" w:sz="0" w:space="0" w:color="auto"/>
        <w:bottom w:val="none" w:sz="0" w:space="0" w:color="auto"/>
        <w:right w:val="none" w:sz="0" w:space="0" w:color="auto"/>
      </w:divBdr>
      <w:divsChild>
        <w:div w:id="1500119244">
          <w:marLeft w:val="0"/>
          <w:marRight w:val="720"/>
          <w:marTop w:val="0"/>
          <w:marBottom w:val="0"/>
          <w:divBdr>
            <w:top w:val="none" w:sz="0" w:space="0" w:color="auto"/>
            <w:left w:val="none" w:sz="0" w:space="0" w:color="auto"/>
            <w:bottom w:val="none" w:sz="0" w:space="0" w:color="auto"/>
            <w:right w:val="none" w:sz="0" w:space="0" w:color="auto"/>
          </w:divBdr>
        </w:div>
        <w:div w:id="417675539">
          <w:marLeft w:val="0"/>
          <w:marRight w:val="0"/>
          <w:marTop w:val="0"/>
          <w:marBottom w:val="0"/>
          <w:divBdr>
            <w:top w:val="none" w:sz="0" w:space="0" w:color="auto"/>
            <w:left w:val="none" w:sz="0" w:space="0" w:color="auto"/>
            <w:bottom w:val="none" w:sz="0" w:space="0" w:color="auto"/>
            <w:right w:val="none" w:sz="0" w:space="0" w:color="auto"/>
          </w:divBdr>
        </w:div>
      </w:divsChild>
    </w:div>
    <w:div w:id="652417765">
      <w:bodyDiv w:val="1"/>
      <w:marLeft w:val="0"/>
      <w:marRight w:val="0"/>
      <w:marTop w:val="0"/>
      <w:marBottom w:val="0"/>
      <w:divBdr>
        <w:top w:val="none" w:sz="0" w:space="0" w:color="auto"/>
        <w:left w:val="none" w:sz="0" w:space="0" w:color="auto"/>
        <w:bottom w:val="none" w:sz="0" w:space="0" w:color="auto"/>
        <w:right w:val="none" w:sz="0" w:space="0" w:color="auto"/>
      </w:divBdr>
      <w:divsChild>
        <w:div w:id="122698830">
          <w:marLeft w:val="0"/>
          <w:marRight w:val="720"/>
          <w:marTop w:val="0"/>
          <w:marBottom w:val="0"/>
          <w:divBdr>
            <w:top w:val="none" w:sz="0" w:space="0" w:color="auto"/>
            <w:left w:val="none" w:sz="0" w:space="0" w:color="auto"/>
            <w:bottom w:val="none" w:sz="0" w:space="0" w:color="auto"/>
            <w:right w:val="none" w:sz="0" w:space="0" w:color="auto"/>
          </w:divBdr>
        </w:div>
        <w:div w:id="493911030">
          <w:marLeft w:val="0"/>
          <w:marRight w:val="0"/>
          <w:marTop w:val="0"/>
          <w:marBottom w:val="0"/>
          <w:divBdr>
            <w:top w:val="none" w:sz="0" w:space="0" w:color="auto"/>
            <w:left w:val="none" w:sz="0" w:space="0" w:color="auto"/>
            <w:bottom w:val="none" w:sz="0" w:space="0" w:color="auto"/>
            <w:right w:val="none" w:sz="0" w:space="0" w:color="auto"/>
          </w:divBdr>
        </w:div>
      </w:divsChild>
    </w:div>
    <w:div w:id="905410111">
      <w:bodyDiv w:val="1"/>
      <w:marLeft w:val="0"/>
      <w:marRight w:val="0"/>
      <w:marTop w:val="0"/>
      <w:marBottom w:val="0"/>
      <w:divBdr>
        <w:top w:val="none" w:sz="0" w:space="0" w:color="auto"/>
        <w:left w:val="none" w:sz="0" w:space="0" w:color="auto"/>
        <w:bottom w:val="none" w:sz="0" w:space="0" w:color="auto"/>
        <w:right w:val="none" w:sz="0" w:space="0" w:color="auto"/>
      </w:divBdr>
      <w:divsChild>
        <w:div w:id="1056514198">
          <w:marLeft w:val="0"/>
          <w:marRight w:val="0"/>
          <w:marTop w:val="0"/>
          <w:marBottom w:val="0"/>
          <w:divBdr>
            <w:top w:val="none" w:sz="0" w:space="0" w:color="auto"/>
            <w:left w:val="none" w:sz="0" w:space="0" w:color="auto"/>
            <w:bottom w:val="none" w:sz="0" w:space="0" w:color="auto"/>
            <w:right w:val="none" w:sz="0" w:space="0" w:color="auto"/>
          </w:divBdr>
        </w:div>
      </w:divsChild>
    </w:div>
    <w:div w:id="1152212994">
      <w:bodyDiv w:val="1"/>
      <w:marLeft w:val="0"/>
      <w:marRight w:val="0"/>
      <w:marTop w:val="0"/>
      <w:marBottom w:val="0"/>
      <w:divBdr>
        <w:top w:val="none" w:sz="0" w:space="0" w:color="auto"/>
        <w:left w:val="none" w:sz="0" w:space="0" w:color="auto"/>
        <w:bottom w:val="none" w:sz="0" w:space="0" w:color="auto"/>
        <w:right w:val="none" w:sz="0" w:space="0" w:color="auto"/>
      </w:divBdr>
      <w:divsChild>
        <w:div w:id="1334527714">
          <w:marLeft w:val="0"/>
          <w:marRight w:val="720"/>
          <w:marTop w:val="0"/>
          <w:marBottom w:val="0"/>
          <w:divBdr>
            <w:top w:val="none" w:sz="0" w:space="0" w:color="auto"/>
            <w:left w:val="none" w:sz="0" w:space="0" w:color="auto"/>
            <w:bottom w:val="none" w:sz="0" w:space="0" w:color="auto"/>
            <w:right w:val="none" w:sz="0" w:space="0" w:color="auto"/>
          </w:divBdr>
        </w:div>
        <w:div w:id="1731885887">
          <w:marLeft w:val="0"/>
          <w:marRight w:val="0"/>
          <w:marTop w:val="0"/>
          <w:marBottom w:val="0"/>
          <w:divBdr>
            <w:top w:val="none" w:sz="0" w:space="0" w:color="auto"/>
            <w:left w:val="none" w:sz="0" w:space="0" w:color="auto"/>
            <w:bottom w:val="none" w:sz="0" w:space="0" w:color="auto"/>
            <w:right w:val="none" w:sz="0" w:space="0" w:color="auto"/>
          </w:divBdr>
        </w:div>
      </w:divsChild>
    </w:div>
    <w:div w:id="1199506892">
      <w:bodyDiv w:val="1"/>
      <w:marLeft w:val="0"/>
      <w:marRight w:val="0"/>
      <w:marTop w:val="0"/>
      <w:marBottom w:val="0"/>
      <w:divBdr>
        <w:top w:val="none" w:sz="0" w:space="0" w:color="auto"/>
        <w:left w:val="none" w:sz="0" w:space="0" w:color="auto"/>
        <w:bottom w:val="none" w:sz="0" w:space="0" w:color="auto"/>
        <w:right w:val="none" w:sz="0" w:space="0" w:color="auto"/>
      </w:divBdr>
      <w:divsChild>
        <w:div w:id="1002313739">
          <w:marLeft w:val="0"/>
          <w:marRight w:val="720"/>
          <w:marTop w:val="0"/>
          <w:marBottom w:val="0"/>
          <w:divBdr>
            <w:top w:val="none" w:sz="0" w:space="0" w:color="auto"/>
            <w:left w:val="none" w:sz="0" w:space="0" w:color="auto"/>
            <w:bottom w:val="none" w:sz="0" w:space="0" w:color="auto"/>
            <w:right w:val="none" w:sz="0" w:space="0" w:color="auto"/>
          </w:divBdr>
        </w:div>
        <w:div w:id="2003044564">
          <w:marLeft w:val="0"/>
          <w:marRight w:val="0"/>
          <w:marTop w:val="0"/>
          <w:marBottom w:val="0"/>
          <w:divBdr>
            <w:top w:val="none" w:sz="0" w:space="0" w:color="auto"/>
            <w:left w:val="none" w:sz="0" w:space="0" w:color="auto"/>
            <w:bottom w:val="none" w:sz="0" w:space="0" w:color="auto"/>
            <w:right w:val="none" w:sz="0" w:space="0" w:color="auto"/>
          </w:divBdr>
        </w:div>
      </w:divsChild>
    </w:div>
    <w:div w:id="1460101138">
      <w:bodyDiv w:val="1"/>
      <w:marLeft w:val="0"/>
      <w:marRight w:val="0"/>
      <w:marTop w:val="0"/>
      <w:marBottom w:val="0"/>
      <w:divBdr>
        <w:top w:val="none" w:sz="0" w:space="0" w:color="auto"/>
        <w:left w:val="none" w:sz="0" w:space="0" w:color="auto"/>
        <w:bottom w:val="none" w:sz="0" w:space="0" w:color="auto"/>
        <w:right w:val="none" w:sz="0" w:space="0" w:color="auto"/>
      </w:divBdr>
      <w:divsChild>
        <w:div w:id="1648121612">
          <w:marLeft w:val="0"/>
          <w:marRight w:val="720"/>
          <w:marTop w:val="0"/>
          <w:marBottom w:val="0"/>
          <w:divBdr>
            <w:top w:val="none" w:sz="0" w:space="0" w:color="auto"/>
            <w:left w:val="none" w:sz="0" w:space="0" w:color="auto"/>
            <w:bottom w:val="none" w:sz="0" w:space="0" w:color="auto"/>
            <w:right w:val="none" w:sz="0" w:space="0" w:color="auto"/>
          </w:divBdr>
        </w:div>
        <w:div w:id="51774500">
          <w:marLeft w:val="0"/>
          <w:marRight w:val="0"/>
          <w:marTop w:val="0"/>
          <w:marBottom w:val="0"/>
          <w:divBdr>
            <w:top w:val="none" w:sz="0" w:space="0" w:color="auto"/>
            <w:left w:val="none" w:sz="0" w:space="0" w:color="auto"/>
            <w:bottom w:val="none" w:sz="0" w:space="0" w:color="auto"/>
            <w:right w:val="none" w:sz="0" w:space="0" w:color="auto"/>
          </w:divBdr>
        </w:div>
      </w:divsChild>
    </w:div>
    <w:div w:id="1734935558">
      <w:bodyDiv w:val="1"/>
      <w:marLeft w:val="0"/>
      <w:marRight w:val="0"/>
      <w:marTop w:val="0"/>
      <w:marBottom w:val="0"/>
      <w:divBdr>
        <w:top w:val="none" w:sz="0" w:space="0" w:color="auto"/>
        <w:left w:val="none" w:sz="0" w:space="0" w:color="auto"/>
        <w:bottom w:val="none" w:sz="0" w:space="0" w:color="auto"/>
        <w:right w:val="none" w:sz="0" w:space="0" w:color="auto"/>
      </w:divBdr>
      <w:divsChild>
        <w:div w:id="2025325596">
          <w:marLeft w:val="0"/>
          <w:marRight w:val="720"/>
          <w:marTop w:val="0"/>
          <w:marBottom w:val="0"/>
          <w:divBdr>
            <w:top w:val="none" w:sz="0" w:space="0" w:color="auto"/>
            <w:left w:val="none" w:sz="0" w:space="0" w:color="auto"/>
            <w:bottom w:val="none" w:sz="0" w:space="0" w:color="auto"/>
            <w:right w:val="none" w:sz="0" w:space="0" w:color="auto"/>
          </w:divBdr>
        </w:div>
        <w:div w:id="767703253">
          <w:marLeft w:val="0"/>
          <w:marRight w:val="0"/>
          <w:marTop w:val="0"/>
          <w:marBottom w:val="0"/>
          <w:divBdr>
            <w:top w:val="none" w:sz="0" w:space="0" w:color="auto"/>
            <w:left w:val="none" w:sz="0" w:space="0" w:color="auto"/>
            <w:bottom w:val="none" w:sz="0" w:space="0" w:color="auto"/>
            <w:right w:val="none" w:sz="0" w:space="0" w:color="auto"/>
          </w:divBdr>
        </w:div>
      </w:divsChild>
    </w:div>
    <w:div w:id="1760325297">
      <w:bodyDiv w:val="1"/>
      <w:marLeft w:val="0"/>
      <w:marRight w:val="0"/>
      <w:marTop w:val="0"/>
      <w:marBottom w:val="0"/>
      <w:divBdr>
        <w:top w:val="none" w:sz="0" w:space="0" w:color="auto"/>
        <w:left w:val="none" w:sz="0" w:space="0" w:color="auto"/>
        <w:bottom w:val="none" w:sz="0" w:space="0" w:color="auto"/>
        <w:right w:val="none" w:sz="0" w:space="0" w:color="auto"/>
      </w:divBdr>
      <w:divsChild>
        <w:div w:id="1951012678">
          <w:marLeft w:val="0"/>
          <w:marRight w:val="720"/>
          <w:marTop w:val="0"/>
          <w:marBottom w:val="0"/>
          <w:divBdr>
            <w:top w:val="none" w:sz="0" w:space="0" w:color="auto"/>
            <w:left w:val="none" w:sz="0" w:space="0" w:color="auto"/>
            <w:bottom w:val="none" w:sz="0" w:space="0" w:color="auto"/>
            <w:right w:val="none" w:sz="0" w:space="0" w:color="auto"/>
          </w:divBdr>
        </w:div>
        <w:div w:id="1508397731">
          <w:marLeft w:val="0"/>
          <w:marRight w:val="0"/>
          <w:marTop w:val="0"/>
          <w:marBottom w:val="0"/>
          <w:divBdr>
            <w:top w:val="none" w:sz="0" w:space="0" w:color="auto"/>
            <w:left w:val="none" w:sz="0" w:space="0" w:color="auto"/>
            <w:bottom w:val="none" w:sz="0" w:space="0" w:color="auto"/>
            <w:right w:val="none" w:sz="0" w:space="0" w:color="auto"/>
          </w:divBdr>
        </w:div>
      </w:divsChild>
    </w:div>
    <w:div w:id="1929651434">
      <w:bodyDiv w:val="1"/>
      <w:marLeft w:val="0"/>
      <w:marRight w:val="0"/>
      <w:marTop w:val="0"/>
      <w:marBottom w:val="0"/>
      <w:divBdr>
        <w:top w:val="none" w:sz="0" w:space="0" w:color="auto"/>
        <w:left w:val="none" w:sz="0" w:space="0" w:color="auto"/>
        <w:bottom w:val="none" w:sz="0" w:space="0" w:color="auto"/>
        <w:right w:val="none" w:sz="0" w:space="0" w:color="auto"/>
      </w:divBdr>
      <w:divsChild>
        <w:div w:id="1045527107">
          <w:marLeft w:val="0"/>
          <w:marRight w:val="720"/>
          <w:marTop w:val="0"/>
          <w:marBottom w:val="0"/>
          <w:divBdr>
            <w:top w:val="none" w:sz="0" w:space="0" w:color="auto"/>
            <w:left w:val="none" w:sz="0" w:space="0" w:color="auto"/>
            <w:bottom w:val="none" w:sz="0" w:space="0" w:color="auto"/>
            <w:right w:val="none" w:sz="0" w:space="0" w:color="auto"/>
          </w:divBdr>
        </w:div>
        <w:div w:id="139154277">
          <w:marLeft w:val="0"/>
          <w:marRight w:val="0"/>
          <w:marTop w:val="0"/>
          <w:marBottom w:val="0"/>
          <w:divBdr>
            <w:top w:val="none" w:sz="0" w:space="0" w:color="auto"/>
            <w:left w:val="none" w:sz="0" w:space="0" w:color="auto"/>
            <w:bottom w:val="none" w:sz="0" w:space="0" w:color="auto"/>
            <w:right w:val="none" w:sz="0" w:space="0" w:color="auto"/>
          </w:divBdr>
        </w:div>
      </w:divsChild>
    </w:div>
    <w:div w:id="1973053074">
      <w:bodyDiv w:val="1"/>
      <w:marLeft w:val="0"/>
      <w:marRight w:val="0"/>
      <w:marTop w:val="0"/>
      <w:marBottom w:val="0"/>
      <w:divBdr>
        <w:top w:val="none" w:sz="0" w:space="0" w:color="auto"/>
        <w:left w:val="none" w:sz="0" w:space="0" w:color="auto"/>
        <w:bottom w:val="none" w:sz="0" w:space="0" w:color="auto"/>
        <w:right w:val="none" w:sz="0" w:space="0" w:color="auto"/>
      </w:divBdr>
      <w:divsChild>
        <w:div w:id="1859082180">
          <w:marLeft w:val="0"/>
          <w:marRight w:val="720"/>
          <w:marTop w:val="0"/>
          <w:marBottom w:val="0"/>
          <w:divBdr>
            <w:top w:val="none" w:sz="0" w:space="0" w:color="auto"/>
            <w:left w:val="none" w:sz="0" w:space="0" w:color="auto"/>
            <w:bottom w:val="none" w:sz="0" w:space="0" w:color="auto"/>
            <w:right w:val="none" w:sz="0" w:space="0" w:color="auto"/>
          </w:divBdr>
        </w:div>
        <w:div w:id="2666232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ge.org/p/justin-trudeau-indigenous-education-inequality-throughout-canada" TargetMode="External"/><Relationship Id="rId13" Type="http://schemas.openxmlformats.org/officeDocument/2006/relationships/hyperlink" Target="https://www.cbc.ca/news/canada/toronto/ontario-indigenous-education-1.6820604" TargetMode="External"/><Relationship Id="rId18" Type="http://schemas.openxmlformats.org/officeDocument/2006/relationships/hyperlink" Target="https://files.eric.ed.gov/fulltext/EJ1306970.pdf" TargetMode="External"/><Relationship Id="rId3" Type="http://schemas.openxmlformats.org/officeDocument/2006/relationships/settings" Target="settings.xml"/><Relationship Id="rId21" Type="http://schemas.openxmlformats.org/officeDocument/2006/relationships/hyperlink" Target="https://doi.org/10.1089/heq.2019.0041" TargetMode="External"/><Relationship Id="rId7" Type="http://schemas.openxmlformats.org/officeDocument/2006/relationships/image" Target="media/image1.jpg"/><Relationship Id="rId12" Type="http://schemas.openxmlformats.org/officeDocument/2006/relationships/hyperlink" Target="https://cfsontario.ca/wp-content/uploads/2021/11/Indigenous-Education_Factsheets_2021_EN.pdf" TargetMode="External"/><Relationship Id="rId17" Type="http://schemas.openxmlformats.org/officeDocument/2006/relationships/hyperlink" Target="https://unitedwaynca.org/blog/equity-vs-equal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thics.gc.ca/eng/tcps2-eptc2_2018_chapter9-chapitre9.html" TargetMode="External"/><Relationship Id="rId20" Type="http://schemas.openxmlformats.org/officeDocument/2006/relationships/hyperlink" Target="https://www.un.org/development/desa/dspd/2021/04/indigenous-peoples-sustainabilit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cu.gov.on.ca/pepg/publications/framework.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ac-isc.gc.ca/eng/1578855031863/1578855057804" TargetMode="External"/><Relationship Id="rId23" Type="http://schemas.openxmlformats.org/officeDocument/2006/relationships/footer" Target="footer2.xml"/><Relationship Id="rId10" Type="http://schemas.openxmlformats.org/officeDocument/2006/relationships/hyperlink" Target="https://www.thecanadianencyclopedia.ca/en/article/aboriginal-people-education" TargetMode="External"/><Relationship Id="rId19" Type="http://schemas.openxmlformats.org/officeDocument/2006/relationships/hyperlink" Target="https://heartandart.ca/the-importance-of-water-safety-to-aboriginal-childrens-education-in-canada/" TargetMode="External"/><Relationship Id="rId4" Type="http://schemas.openxmlformats.org/officeDocument/2006/relationships/webSettings" Target="webSettings.xml"/><Relationship Id="rId9" Type="http://schemas.openxmlformats.org/officeDocument/2006/relationships/hyperlink" Target="https://www.rcaanc-cirnac.gc.ca/eng/1450124405592/1529106060525" TargetMode="External"/><Relationship Id="rId14" Type="http://schemas.openxmlformats.org/officeDocument/2006/relationships/hyperlink" Target="https://www.federationhss.ca/sites/default/files/2021-11/Role%20of%20HSS%20Report-EN.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E27E-3C14-46D8-AE1C-946E93F4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5</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Viutika Rathod</cp:lastModifiedBy>
  <cp:revision>78</cp:revision>
  <dcterms:created xsi:type="dcterms:W3CDTF">2023-05-25T14:43:00Z</dcterms:created>
  <dcterms:modified xsi:type="dcterms:W3CDTF">2023-05-30T01:56:00Z</dcterms:modified>
</cp:coreProperties>
</file>